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9A" w:rsidRPr="00E56B04" w:rsidRDefault="00977C9A" w:rsidP="000F1EA6">
      <w:pPr>
        <w:snapToGrid w:val="0"/>
        <w:spacing w:line="600" w:lineRule="exact"/>
        <w:jc w:val="center"/>
        <w:rPr>
          <w:rFonts w:ascii="宋体" w:hAnsi="宋体"/>
          <w:b/>
          <w:bCs/>
          <w:sz w:val="28"/>
          <w:szCs w:val="28"/>
        </w:rPr>
      </w:pPr>
      <w:bookmarkStart w:id="0" w:name="_GoBack"/>
      <w:r w:rsidRPr="00E56B04">
        <w:rPr>
          <w:rFonts w:ascii="宋体" w:hAnsi="宋体" w:hint="eastAsia"/>
          <w:b/>
          <w:bCs/>
          <w:sz w:val="28"/>
          <w:szCs w:val="28"/>
        </w:rPr>
        <w:t>第</w:t>
      </w:r>
      <w:r>
        <w:rPr>
          <w:rFonts w:ascii="宋体" w:hAnsi="宋体" w:hint="eastAsia"/>
          <w:b/>
          <w:bCs/>
          <w:sz w:val="28"/>
          <w:szCs w:val="28"/>
        </w:rPr>
        <w:t>十六届</w:t>
      </w:r>
      <w:r w:rsidRPr="00E56B04">
        <w:rPr>
          <w:rFonts w:ascii="宋体" w:hAnsi="宋体" w:hint="eastAsia"/>
          <w:b/>
          <w:bCs/>
          <w:sz w:val="28"/>
          <w:szCs w:val="28"/>
        </w:rPr>
        <w:t>中小学教研教改成果评选活动论文申报表</w:t>
      </w:r>
      <w:bookmarkEnd w:id="0"/>
    </w:p>
    <w:p w:rsidR="00977C9A" w:rsidRPr="00E56B04" w:rsidRDefault="00977C9A" w:rsidP="00977C9A">
      <w:pPr>
        <w:snapToGrid w:val="0"/>
        <w:spacing w:line="600" w:lineRule="exact"/>
        <w:ind w:firstLineChars="148" w:firstLine="357"/>
        <w:rPr>
          <w:rFonts w:ascii="宋体" w:hAnsi="宋体"/>
          <w:b/>
          <w:bCs/>
          <w:sz w:val="24"/>
        </w:rPr>
      </w:pPr>
      <w:r>
        <w:rPr>
          <w:rFonts w:ascii="宋体" w:hAnsi="宋体" w:hint="eastAsia"/>
          <w:b/>
          <w:bCs/>
          <w:sz w:val="24"/>
        </w:rPr>
        <w:t>区</w:t>
      </w:r>
      <w:r w:rsidRPr="00E56B04">
        <w:rPr>
          <w:rFonts w:ascii="宋体" w:hAnsi="宋体" w:hint="eastAsia"/>
          <w:b/>
          <w:bCs/>
          <w:sz w:val="24"/>
        </w:rPr>
        <w:t>：</w:t>
      </w:r>
      <w:r w:rsidR="0049232B">
        <w:rPr>
          <w:rFonts w:ascii="宋体" w:hAnsi="宋体" w:hint="eastAsia"/>
          <w:b/>
          <w:bCs/>
          <w:sz w:val="24"/>
        </w:rPr>
        <w:t>宝坻</w:t>
      </w:r>
      <w:r w:rsidR="000A2347">
        <w:rPr>
          <w:rFonts w:ascii="宋体" w:hAnsi="宋体" w:hint="eastAsia"/>
          <w:b/>
          <w:bCs/>
          <w:sz w:val="24"/>
        </w:rPr>
        <w:t xml:space="preserve">            </w:t>
      </w:r>
      <w:r w:rsidRPr="00E56B04">
        <w:rPr>
          <w:rFonts w:ascii="宋体" w:hAnsi="宋体" w:hint="eastAsia"/>
          <w:b/>
          <w:bCs/>
          <w:sz w:val="24"/>
        </w:rPr>
        <w:t xml:space="preserve"> 学科：</w:t>
      </w:r>
      <w:r w:rsidR="0049232B" w:rsidRPr="0049232B">
        <w:rPr>
          <w:rFonts w:hint="eastAsia"/>
          <w:sz w:val="28"/>
          <w:szCs w:val="28"/>
        </w:rPr>
        <w:t>品德与社会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1255"/>
        <w:gridCol w:w="753"/>
        <w:gridCol w:w="1442"/>
        <w:gridCol w:w="315"/>
        <w:gridCol w:w="405"/>
        <w:gridCol w:w="350"/>
        <w:gridCol w:w="1004"/>
        <w:gridCol w:w="753"/>
        <w:gridCol w:w="1287"/>
      </w:tblGrid>
      <w:tr w:rsidR="00977C9A" w:rsidRPr="00E56B04" w:rsidTr="00680C9E">
        <w:trPr>
          <w:cantSplit/>
          <w:trHeight w:val="440"/>
        </w:trPr>
        <w:tc>
          <w:tcPr>
            <w:tcW w:w="502" w:type="dxa"/>
            <w:vMerge w:val="restart"/>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论</w:t>
            </w: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文</w:t>
            </w: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情</w:t>
            </w: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况</w:t>
            </w:r>
          </w:p>
        </w:tc>
        <w:tc>
          <w:tcPr>
            <w:tcW w:w="1255" w:type="dxa"/>
            <w:vAlign w:val="center"/>
          </w:tcPr>
          <w:p w:rsidR="00977C9A" w:rsidRPr="00E56B04" w:rsidRDefault="00977C9A" w:rsidP="00680C9E">
            <w:pPr>
              <w:snapToGrid w:val="0"/>
              <w:spacing w:line="460" w:lineRule="exact"/>
              <w:jc w:val="center"/>
              <w:rPr>
                <w:rFonts w:ascii="宋体" w:hAnsi="宋体"/>
                <w:sz w:val="24"/>
              </w:rPr>
            </w:pPr>
            <w:r w:rsidRPr="00E56B04">
              <w:rPr>
                <w:rFonts w:ascii="宋体" w:hAnsi="宋体" w:hint="eastAsia"/>
                <w:sz w:val="24"/>
              </w:rPr>
              <w:t>题  目</w:t>
            </w:r>
          </w:p>
        </w:tc>
        <w:tc>
          <w:tcPr>
            <w:tcW w:w="6309" w:type="dxa"/>
            <w:gridSpan w:val="8"/>
            <w:vAlign w:val="center"/>
          </w:tcPr>
          <w:p w:rsidR="00977C9A" w:rsidRPr="0049232B" w:rsidRDefault="0049232B" w:rsidP="0049232B">
            <w:pPr>
              <w:jc w:val="center"/>
              <w:rPr>
                <w:sz w:val="28"/>
                <w:szCs w:val="28"/>
              </w:rPr>
            </w:pPr>
            <w:r w:rsidRPr="0049232B">
              <w:rPr>
                <w:rFonts w:hint="eastAsia"/>
                <w:sz w:val="28"/>
                <w:szCs w:val="28"/>
              </w:rPr>
              <w:t>小学“品德与社会”教学现状与对策研究</w:t>
            </w:r>
          </w:p>
        </w:tc>
      </w:tr>
      <w:tr w:rsidR="00977C9A" w:rsidRPr="00E56B04" w:rsidTr="00680C9E">
        <w:trPr>
          <w:cantSplit/>
          <w:trHeight w:val="1285"/>
        </w:trPr>
        <w:tc>
          <w:tcPr>
            <w:tcW w:w="502" w:type="dxa"/>
            <w:vMerge/>
            <w:vAlign w:val="center"/>
          </w:tcPr>
          <w:p w:rsidR="00977C9A" w:rsidRPr="00E56B04" w:rsidRDefault="00977C9A" w:rsidP="00680C9E">
            <w:pPr>
              <w:snapToGrid w:val="0"/>
              <w:spacing w:line="460" w:lineRule="exact"/>
              <w:rPr>
                <w:rFonts w:ascii="宋体" w:hAnsi="宋体"/>
                <w:sz w:val="24"/>
              </w:rPr>
            </w:pPr>
          </w:p>
        </w:tc>
        <w:tc>
          <w:tcPr>
            <w:tcW w:w="1255" w:type="dxa"/>
            <w:vAlign w:val="center"/>
          </w:tcPr>
          <w:p w:rsidR="00977C9A" w:rsidRPr="00E56B04" w:rsidRDefault="00977C9A" w:rsidP="00680C9E">
            <w:pPr>
              <w:snapToGrid w:val="0"/>
              <w:spacing w:line="460" w:lineRule="exact"/>
              <w:jc w:val="center"/>
              <w:rPr>
                <w:rFonts w:ascii="宋体" w:hAnsi="宋体"/>
                <w:sz w:val="24"/>
              </w:rPr>
            </w:pPr>
            <w:r w:rsidRPr="00E56B04">
              <w:rPr>
                <w:rFonts w:ascii="宋体" w:hAnsi="宋体" w:hint="eastAsia"/>
                <w:sz w:val="24"/>
              </w:rPr>
              <w:t>发表或已获奖情况</w:t>
            </w:r>
          </w:p>
        </w:tc>
        <w:tc>
          <w:tcPr>
            <w:tcW w:w="6309" w:type="dxa"/>
            <w:gridSpan w:val="8"/>
          </w:tcPr>
          <w:p w:rsidR="00977C9A" w:rsidRPr="00E56B04" w:rsidRDefault="00977C9A" w:rsidP="00680C9E">
            <w:pPr>
              <w:snapToGrid w:val="0"/>
              <w:spacing w:line="460" w:lineRule="exact"/>
              <w:rPr>
                <w:rFonts w:ascii="宋体" w:hAnsi="宋体"/>
                <w:sz w:val="24"/>
              </w:rPr>
            </w:pPr>
          </w:p>
        </w:tc>
      </w:tr>
      <w:tr w:rsidR="00977C9A" w:rsidRPr="00E56B04" w:rsidTr="00680C9E">
        <w:trPr>
          <w:cantSplit/>
          <w:trHeight w:val="440"/>
        </w:trPr>
        <w:tc>
          <w:tcPr>
            <w:tcW w:w="502" w:type="dxa"/>
            <w:vMerge w:val="restart"/>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作者情况</w:t>
            </w:r>
          </w:p>
        </w:tc>
        <w:tc>
          <w:tcPr>
            <w:tcW w:w="1255" w:type="dxa"/>
            <w:vMerge w:val="restart"/>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第一作者</w:t>
            </w:r>
          </w:p>
        </w:tc>
        <w:tc>
          <w:tcPr>
            <w:tcW w:w="753" w:type="dxa"/>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姓名</w:t>
            </w:r>
          </w:p>
        </w:tc>
        <w:tc>
          <w:tcPr>
            <w:tcW w:w="1757" w:type="dxa"/>
            <w:gridSpan w:val="2"/>
            <w:vAlign w:val="center"/>
          </w:tcPr>
          <w:p w:rsidR="00977C9A" w:rsidRPr="00E56B04" w:rsidRDefault="00AB1D02" w:rsidP="00680C9E">
            <w:pPr>
              <w:snapToGrid w:val="0"/>
              <w:spacing w:line="460" w:lineRule="exact"/>
              <w:rPr>
                <w:rFonts w:ascii="宋体" w:hAnsi="宋体"/>
                <w:sz w:val="24"/>
              </w:rPr>
            </w:pPr>
            <w:r>
              <w:rPr>
                <w:rFonts w:ascii="宋体" w:hAnsi="宋体" w:hint="eastAsia"/>
                <w:sz w:val="24"/>
              </w:rPr>
              <w:t>韩青</w:t>
            </w:r>
          </w:p>
        </w:tc>
        <w:tc>
          <w:tcPr>
            <w:tcW w:w="755" w:type="dxa"/>
            <w:gridSpan w:val="2"/>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职务</w:t>
            </w:r>
          </w:p>
        </w:tc>
        <w:tc>
          <w:tcPr>
            <w:tcW w:w="1004" w:type="dxa"/>
            <w:vAlign w:val="center"/>
          </w:tcPr>
          <w:p w:rsidR="00977C9A" w:rsidRPr="00E56B04" w:rsidRDefault="00977C9A" w:rsidP="00680C9E">
            <w:pPr>
              <w:snapToGrid w:val="0"/>
              <w:spacing w:line="460" w:lineRule="exact"/>
              <w:rPr>
                <w:rFonts w:ascii="宋体" w:hAnsi="宋体"/>
                <w:sz w:val="24"/>
              </w:rPr>
            </w:pPr>
          </w:p>
        </w:tc>
        <w:tc>
          <w:tcPr>
            <w:tcW w:w="753" w:type="dxa"/>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职称</w:t>
            </w:r>
          </w:p>
        </w:tc>
        <w:tc>
          <w:tcPr>
            <w:tcW w:w="1287" w:type="dxa"/>
            <w:vAlign w:val="center"/>
          </w:tcPr>
          <w:p w:rsidR="00977C9A" w:rsidRPr="00E56B04" w:rsidRDefault="00AB1D02" w:rsidP="00680C9E">
            <w:pPr>
              <w:snapToGrid w:val="0"/>
              <w:spacing w:line="460" w:lineRule="exact"/>
              <w:rPr>
                <w:rFonts w:ascii="宋体" w:hAnsi="宋体"/>
                <w:sz w:val="24"/>
              </w:rPr>
            </w:pPr>
            <w:r>
              <w:rPr>
                <w:rFonts w:ascii="宋体" w:hAnsi="宋体" w:hint="eastAsia"/>
                <w:sz w:val="24"/>
              </w:rPr>
              <w:t>一级教师</w:t>
            </w:r>
          </w:p>
        </w:tc>
      </w:tr>
      <w:tr w:rsidR="00977C9A" w:rsidRPr="00E56B04" w:rsidTr="00680C9E">
        <w:trPr>
          <w:cantSplit/>
          <w:trHeight w:val="440"/>
        </w:trPr>
        <w:tc>
          <w:tcPr>
            <w:tcW w:w="502" w:type="dxa"/>
            <w:vMerge/>
            <w:vAlign w:val="center"/>
          </w:tcPr>
          <w:p w:rsidR="00977C9A" w:rsidRPr="00E56B04" w:rsidRDefault="00977C9A" w:rsidP="00680C9E">
            <w:pPr>
              <w:snapToGrid w:val="0"/>
              <w:spacing w:line="460" w:lineRule="exact"/>
              <w:rPr>
                <w:rFonts w:ascii="宋体" w:hAnsi="宋体"/>
                <w:sz w:val="24"/>
              </w:rPr>
            </w:pPr>
          </w:p>
        </w:tc>
        <w:tc>
          <w:tcPr>
            <w:tcW w:w="1255" w:type="dxa"/>
            <w:vMerge/>
            <w:vAlign w:val="center"/>
          </w:tcPr>
          <w:p w:rsidR="00977C9A" w:rsidRPr="00E56B04" w:rsidRDefault="00977C9A" w:rsidP="00680C9E">
            <w:pPr>
              <w:snapToGrid w:val="0"/>
              <w:spacing w:line="460" w:lineRule="exact"/>
              <w:rPr>
                <w:rFonts w:ascii="宋体" w:hAnsi="宋体"/>
                <w:sz w:val="24"/>
              </w:rPr>
            </w:pPr>
          </w:p>
        </w:tc>
        <w:tc>
          <w:tcPr>
            <w:tcW w:w="753" w:type="dxa"/>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单位</w:t>
            </w:r>
          </w:p>
        </w:tc>
        <w:tc>
          <w:tcPr>
            <w:tcW w:w="1757" w:type="dxa"/>
            <w:gridSpan w:val="2"/>
            <w:vAlign w:val="center"/>
          </w:tcPr>
          <w:p w:rsidR="00977C9A" w:rsidRPr="00AB1D02" w:rsidRDefault="00AB1D02" w:rsidP="00680C9E">
            <w:pPr>
              <w:snapToGrid w:val="0"/>
              <w:spacing w:line="460" w:lineRule="exact"/>
              <w:rPr>
                <w:rFonts w:ascii="宋体" w:hAnsi="宋体"/>
                <w:sz w:val="18"/>
                <w:szCs w:val="18"/>
              </w:rPr>
            </w:pPr>
            <w:r w:rsidRPr="00AB1D02">
              <w:rPr>
                <w:rFonts w:ascii="宋体" w:hAnsi="宋体" w:hint="eastAsia"/>
                <w:sz w:val="18"/>
                <w:szCs w:val="18"/>
              </w:rPr>
              <w:t>方家庄镇中西学校</w:t>
            </w:r>
          </w:p>
        </w:tc>
        <w:tc>
          <w:tcPr>
            <w:tcW w:w="755" w:type="dxa"/>
            <w:gridSpan w:val="2"/>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电话</w:t>
            </w:r>
          </w:p>
        </w:tc>
        <w:tc>
          <w:tcPr>
            <w:tcW w:w="3044" w:type="dxa"/>
            <w:gridSpan w:val="3"/>
            <w:vAlign w:val="center"/>
          </w:tcPr>
          <w:p w:rsidR="00977C9A" w:rsidRPr="00E56B04" w:rsidRDefault="00AB1D02" w:rsidP="00680C9E">
            <w:pPr>
              <w:snapToGrid w:val="0"/>
              <w:spacing w:line="460" w:lineRule="exact"/>
              <w:rPr>
                <w:rFonts w:ascii="宋体" w:hAnsi="宋体"/>
                <w:sz w:val="24"/>
              </w:rPr>
            </w:pPr>
            <w:r>
              <w:rPr>
                <w:rFonts w:ascii="宋体" w:hAnsi="宋体" w:hint="eastAsia"/>
                <w:sz w:val="24"/>
              </w:rPr>
              <w:t>2259534</w:t>
            </w:r>
          </w:p>
        </w:tc>
      </w:tr>
      <w:tr w:rsidR="00977C9A" w:rsidRPr="00E56B04" w:rsidTr="00680C9E">
        <w:trPr>
          <w:cantSplit/>
          <w:trHeight w:val="443"/>
        </w:trPr>
        <w:tc>
          <w:tcPr>
            <w:tcW w:w="502" w:type="dxa"/>
            <w:vMerge/>
            <w:vAlign w:val="center"/>
          </w:tcPr>
          <w:p w:rsidR="00977C9A" w:rsidRPr="00E56B04" w:rsidRDefault="00977C9A" w:rsidP="00680C9E">
            <w:pPr>
              <w:snapToGrid w:val="0"/>
              <w:spacing w:line="460" w:lineRule="exact"/>
              <w:rPr>
                <w:rFonts w:ascii="宋体" w:hAnsi="宋体"/>
                <w:sz w:val="24"/>
              </w:rPr>
            </w:pPr>
          </w:p>
        </w:tc>
        <w:tc>
          <w:tcPr>
            <w:tcW w:w="1255" w:type="dxa"/>
            <w:vMerge w:val="restart"/>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其他主要成员</w:t>
            </w:r>
          </w:p>
        </w:tc>
        <w:tc>
          <w:tcPr>
            <w:tcW w:w="753" w:type="dxa"/>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姓名</w:t>
            </w:r>
          </w:p>
        </w:tc>
        <w:tc>
          <w:tcPr>
            <w:tcW w:w="1757" w:type="dxa"/>
            <w:gridSpan w:val="2"/>
            <w:vAlign w:val="center"/>
          </w:tcPr>
          <w:p w:rsidR="00977C9A" w:rsidRPr="00E56B04" w:rsidRDefault="00977C9A" w:rsidP="00680C9E">
            <w:pPr>
              <w:snapToGrid w:val="0"/>
              <w:spacing w:line="460" w:lineRule="exact"/>
              <w:rPr>
                <w:rFonts w:ascii="宋体" w:hAnsi="宋体"/>
                <w:sz w:val="24"/>
              </w:rPr>
            </w:pPr>
          </w:p>
        </w:tc>
        <w:tc>
          <w:tcPr>
            <w:tcW w:w="755" w:type="dxa"/>
            <w:gridSpan w:val="2"/>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单位</w:t>
            </w:r>
          </w:p>
        </w:tc>
        <w:tc>
          <w:tcPr>
            <w:tcW w:w="3044" w:type="dxa"/>
            <w:gridSpan w:val="3"/>
            <w:vAlign w:val="center"/>
          </w:tcPr>
          <w:p w:rsidR="00977C9A" w:rsidRPr="00E56B04" w:rsidRDefault="00977C9A" w:rsidP="00680C9E">
            <w:pPr>
              <w:snapToGrid w:val="0"/>
              <w:spacing w:line="460" w:lineRule="exact"/>
              <w:rPr>
                <w:rFonts w:ascii="宋体" w:hAnsi="宋体"/>
                <w:sz w:val="24"/>
              </w:rPr>
            </w:pPr>
          </w:p>
        </w:tc>
      </w:tr>
      <w:tr w:rsidR="00977C9A" w:rsidRPr="00E56B04" w:rsidTr="00680C9E">
        <w:trPr>
          <w:cantSplit/>
          <w:trHeight w:val="442"/>
        </w:trPr>
        <w:tc>
          <w:tcPr>
            <w:tcW w:w="502" w:type="dxa"/>
            <w:vMerge/>
            <w:vAlign w:val="center"/>
          </w:tcPr>
          <w:p w:rsidR="00977C9A" w:rsidRPr="00E56B04" w:rsidRDefault="00977C9A" w:rsidP="00680C9E">
            <w:pPr>
              <w:snapToGrid w:val="0"/>
              <w:spacing w:line="460" w:lineRule="exact"/>
              <w:rPr>
                <w:rFonts w:ascii="宋体" w:hAnsi="宋体"/>
                <w:sz w:val="24"/>
              </w:rPr>
            </w:pPr>
          </w:p>
        </w:tc>
        <w:tc>
          <w:tcPr>
            <w:tcW w:w="1255" w:type="dxa"/>
            <w:vMerge/>
            <w:vAlign w:val="center"/>
          </w:tcPr>
          <w:p w:rsidR="00977C9A" w:rsidRPr="00E56B04" w:rsidRDefault="00977C9A" w:rsidP="00680C9E">
            <w:pPr>
              <w:snapToGrid w:val="0"/>
              <w:spacing w:line="460" w:lineRule="exact"/>
              <w:rPr>
                <w:rFonts w:ascii="宋体" w:hAnsi="宋体"/>
                <w:sz w:val="24"/>
              </w:rPr>
            </w:pPr>
          </w:p>
        </w:tc>
        <w:tc>
          <w:tcPr>
            <w:tcW w:w="753" w:type="dxa"/>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姓名</w:t>
            </w:r>
          </w:p>
        </w:tc>
        <w:tc>
          <w:tcPr>
            <w:tcW w:w="1757" w:type="dxa"/>
            <w:gridSpan w:val="2"/>
            <w:vAlign w:val="center"/>
          </w:tcPr>
          <w:p w:rsidR="00977C9A" w:rsidRPr="00E56B04" w:rsidRDefault="00977C9A" w:rsidP="00680C9E">
            <w:pPr>
              <w:snapToGrid w:val="0"/>
              <w:spacing w:line="460" w:lineRule="exact"/>
              <w:rPr>
                <w:rFonts w:ascii="宋体" w:hAnsi="宋体"/>
                <w:sz w:val="24"/>
              </w:rPr>
            </w:pPr>
          </w:p>
        </w:tc>
        <w:tc>
          <w:tcPr>
            <w:tcW w:w="755" w:type="dxa"/>
            <w:gridSpan w:val="2"/>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单位</w:t>
            </w:r>
          </w:p>
        </w:tc>
        <w:tc>
          <w:tcPr>
            <w:tcW w:w="3044" w:type="dxa"/>
            <w:gridSpan w:val="3"/>
            <w:vAlign w:val="center"/>
          </w:tcPr>
          <w:p w:rsidR="00977C9A" w:rsidRPr="00E56B04" w:rsidRDefault="00977C9A" w:rsidP="00680C9E">
            <w:pPr>
              <w:snapToGrid w:val="0"/>
              <w:spacing w:line="460" w:lineRule="exact"/>
              <w:rPr>
                <w:rFonts w:ascii="宋体" w:hAnsi="宋体"/>
                <w:sz w:val="24"/>
              </w:rPr>
            </w:pPr>
          </w:p>
        </w:tc>
      </w:tr>
      <w:tr w:rsidR="00977C9A" w:rsidRPr="00E56B04" w:rsidTr="00680C9E">
        <w:trPr>
          <w:cantSplit/>
          <w:trHeight w:val="1271"/>
        </w:trPr>
        <w:tc>
          <w:tcPr>
            <w:tcW w:w="502" w:type="dxa"/>
            <w:textDirection w:val="tbRlV"/>
            <w:vAlign w:val="center"/>
          </w:tcPr>
          <w:p w:rsidR="00977C9A" w:rsidRPr="00E56B04" w:rsidRDefault="00977C9A" w:rsidP="00680C9E">
            <w:pPr>
              <w:snapToGrid w:val="0"/>
              <w:spacing w:line="460" w:lineRule="exact"/>
              <w:ind w:left="113" w:right="113"/>
              <w:jc w:val="center"/>
              <w:rPr>
                <w:rFonts w:ascii="宋体" w:hAnsi="宋体"/>
                <w:kern w:val="0"/>
                <w:sz w:val="24"/>
              </w:rPr>
            </w:pPr>
            <w:r w:rsidRPr="00E56B04">
              <w:rPr>
                <w:rFonts w:ascii="宋体" w:hAnsi="宋体" w:hint="eastAsia"/>
                <w:kern w:val="0"/>
                <w:sz w:val="24"/>
              </w:rPr>
              <w:t>本人承诺</w:t>
            </w:r>
          </w:p>
        </w:tc>
        <w:tc>
          <w:tcPr>
            <w:tcW w:w="7564" w:type="dxa"/>
            <w:gridSpan w:val="9"/>
          </w:tcPr>
          <w:p w:rsidR="00977C9A" w:rsidRPr="00E56B04" w:rsidRDefault="00977C9A" w:rsidP="00680C9E">
            <w:pPr>
              <w:snapToGrid w:val="0"/>
              <w:spacing w:line="460" w:lineRule="exact"/>
              <w:ind w:firstLine="480"/>
              <w:rPr>
                <w:rFonts w:ascii="宋体" w:hAnsi="宋体"/>
                <w:sz w:val="24"/>
              </w:rPr>
            </w:pPr>
            <w:r w:rsidRPr="00E56B04">
              <w:rPr>
                <w:rFonts w:ascii="宋体" w:hAnsi="宋体" w:hint="eastAsia"/>
                <w:sz w:val="24"/>
              </w:rPr>
              <w:t>申请人郑重声明：此项成果确系申请人所有，因此引发的争议及后果由申请人承担。</w:t>
            </w:r>
          </w:p>
          <w:p w:rsidR="00977C9A" w:rsidRPr="00E56B04" w:rsidRDefault="00977C9A" w:rsidP="00680C9E">
            <w:pPr>
              <w:snapToGrid w:val="0"/>
              <w:spacing w:line="460" w:lineRule="exact"/>
              <w:ind w:firstLineChars="800" w:firstLine="1920"/>
              <w:rPr>
                <w:rFonts w:ascii="宋体" w:hAnsi="宋体"/>
                <w:sz w:val="24"/>
              </w:rPr>
            </w:pPr>
            <w:r w:rsidRPr="00E56B04">
              <w:rPr>
                <w:rFonts w:ascii="宋体" w:hAnsi="宋体" w:hint="eastAsia"/>
                <w:sz w:val="24"/>
              </w:rPr>
              <w:t>申请人签字：</w:t>
            </w:r>
          </w:p>
        </w:tc>
      </w:tr>
      <w:tr w:rsidR="00977C9A" w:rsidRPr="00E56B04" w:rsidTr="00680C9E">
        <w:trPr>
          <w:cantSplit/>
          <w:trHeight w:val="3936"/>
        </w:trPr>
        <w:tc>
          <w:tcPr>
            <w:tcW w:w="502" w:type="dxa"/>
            <w:textDirection w:val="tbRlV"/>
            <w:vAlign w:val="center"/>
          </w:tcPr>
          <w:p w:rsidR="00977C9A" w:rsidRPr="00E56B04" w:rsidRDefault="00977C9A" w:rsidP="00680C9E">
            <w:pPr>
              <w:snapToGrid w:val="0"/>
              <w:spacing w:line="460" w:lineRule="exact"/>
              <w:ind w:left="113" w:right="113"/>
              <w:jc w:val="center"/>
              <w:rPr>
                <w:rFonts w:ascii="宋体" w:hAnsi="宋体"/>
                <w:sz w:val="24"/>
              </w:rPr>
            </w:pPr>
            <w:r w:rsidRPr="00977C9A">
              <w:rPr>
                <w:rFonts w:ascii="宋体" w:hAnsi="宋体" w:hint="eastAsia"/>
                <w:spacing w:val="60"/>
                <w:kern w:val="0"/>
                <w:sz w:val="24"/>
                <w:fitText w:val="2100" w:id="1289481984"/>
              </w:rPr>
              <w:t>学校推荐证</w:t>
            </w:r>
            <w:r w:rsidRPr="00977C9A">
              <w:rPr>
                <w:rFonts w:ascii="宋体" w:hAnsi="宋体" w:hint="eastAsia"/>
                <w:spacing w:val="30"/>
                <w:kern w:val="0"/>
                <w:sz w:val="24"/>
                <w:fitText w:val="2100" w:id="1289481984"/>
              </w:rPr>
              <w:t>明</w:t>
            </w:r>
          </w:p>
        </w:tc>
        <w:tc>
          <w:tcPr>
            <w:tcW w:w="3450" w:type="dxa"/>
            <w:gridSpan w:val="3"/>
          </w:tcPr>
          <w:p w:rsidR="00977C9A" w:rsidRPr="00E56B04" w:rsidRDefault="00977C9A" w:rsidP="00680C9E">
            <w:pPr>
              <w:snapToGrid w:val="0"/>
              <w:spacing w:line="460" w:lineRule="exact"/>
              <w:rPr>
                <w:rFonts w:ascii="宋体" w:hAnsi="宋体"/>
                <w:sz w:val="24"/>
                <w:u w:val="single"/>
              </w:rPr>
            </w:pPr>
            <w:r w:rsidRPr="00E56B04">
              <w:rPr>
                <w:rFonts w:ascii="宋体" w:hAnsi="宋体" w:hint="eastAsia"/>
                <w:sz w:val="24"/>
              </w:rPr>
              <w:t>该成果由</w:t>
            </w: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独立完成</w:t>
            </w: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校长签字</w:t>
            </w: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单位盖章：     年  月  日</w:t>
            </w:r>
          </w:p>
          <w:p w:rsidR="00977C9A" w:rsidRPr="00E56B04" w:rsidRDefault="00977C9A" w:rsidP="00680C9E">
            <w:pPr>
              <w:snapToGrid w:val="0"/>
              <w:spacing w:line="460" w:lineRule="exact"/>
              <w:rPr>
                <w:rFonts w:ascii="宋体" w:hAnsi="宋体"/>
                <w:sz w:val="24"/>
              </w:rPr>
            </w:pPr>
          </w:p>
        </w:tc>
        <w:tc>
          <w:tcPr>
            <w:tcW w:w="720" w:type="dxa"/>
            <w:gridSpan w:val="2"/>
            <w:textDirection w:val="tbRlV"/>
          </w:tcPr>
          <w:p w:rsidR="00977C9A" w:rsidRPr="00E56B04" w:rsidRDefault="00977C9A" w:rsidP="00680C9E">
            <w:pPr>
              <w:widowControl/>
              <w:ind w:left="113" w:right="113"/>
              <w:jc w:val="center"/>
              <w:rPr>
                <w:rFonts w:ascii="宋体" w:hAnsi="宋体"/>
                <w:sz w:val="24"/>
              </w:rPr>
            </w:pPr>
            <w:r w:rsidRPr="00977C9A">
              <w:rPr>
                <w:rFonts w:ascii="宋体" w:hAnsi="宋体" w:hint="eastAsia"/>
                <w:spacing w:val="60"/>
                <w:kern w:val="0"/>
                <w:sz w:val="24"/>
                <w:fitText w:val="2100" w:id="1289481985"/>
              </w:rPr>
              <w:t>区级评审意</w:t>
            </w:r>
            <w:r w:rsidRPr="00977C9A">
              <w:rPr>
                <w:rFonts w:ascii="宋体" w:hAnsi="宋体" w:hint="eastAsia"/>
                <w:spacing w:val="30"/>
                <w:kern w:val="0"/>
                <w:sz w:val="24"/>
                <w:fitText w:val="2100" w:id="1289481985"/>
              </w:rPr>
              <w:t>见</w:t>
            </w: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p>
          <w:p w:rsidR="00977C9A" w:rsidRPr="00E56B04" w:rsidRDefault="00977C9A" w:rsidP="00680C9E">
            <w:pPr>
              <w:snapToGrid w:val="0"/>
              <w:spacing w:line="460" w:lineRule="exact"/>
              <w:ind w:left="113" w:right="113"/>
              <w:rPr>
                <w:rFonts w:ascii="宋体" w:hAnsi="宋体"/>
                <w:sz w:val="24"/>
              </w:rPr>
            </w:pPr>
          </w:p>
        </w:tc>
        <w:tc>
          <w:tcPr>
            <w:tcW w:w="3394" w:type="dxa"/>
            <w:gridSpan w:val="4"/>
          </w:tcPr>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单位盖章：     年  月  日</w:t>
            </w:r>
          </w:p>
        </w:tc>
      </w:tr>
      <w:tr w:rsidR="00977C9A" w:rsidRPr="00E56B04" w:rsidTr="00680C9E">
        <w:trPr>
          <w:cantSplit/>
          <w:trHeight w:val="3110"/>
        </w:trPr>
        <w:tc>
          <w:tcPr>
            <w:tcW w:w="502" w:type="dxa"/>
            <w:textDirection w:val="tbRlV"/>
            <w:vAlign w:val="center"/>
          </w:tcPr>
          <w:p w:rsidR="00977C9A" w:rsidRPr="00E56B04" w:rsidRDefault="00977C9A" w:rsidP="00680C9E">
            <w:pPr>
              <w:snapToGrid w:val="0"/>
              <w:spacing w:line="460" w:lineRule="exact"/>
              <w:ind w:left="113" w:right="113"/>
              <w:jc w:val="center"/>
              <w:rPr>
                <w:rFonts w:ascii="宋体" w:hAnsi="宋体"/>
                <w:sz w:val="24"/>
              </w:rPr>
            </w:pPr>
            <w:r w:rsidRPr="00977C9A">
              <w:rPr>
                <w:rFonts w:ascii="宋体" w:hAnsi="宋体" w:hint="eastAsia"/>
                <w:spacing w:val="105"/>
                <w:kern w:val="0"/>
                <w:sz w:val="24"/>
                <w:fitText w:val="2520" w:id="1289481986"/>
              </w:rPr>
              <w:t>市级初评意</w:t>
            </w:r>
            <w:r w:rsidRPr="00977C9A">
              <w:rPr>
                <w:rFonts w:ascii="宋体" w:hAnsi="宋体" w:hint="eastAsia"/>
                <w:spacing w:val="15"/>
                <w:kern w:val="0"/>
                <w:sz w:val="24"/>
                <w:fitText w:val="2520" w:id="1289481986"/>
              </w:rPr>
              <w:t>见</w:t>
            </w:r>
          </w:p>
        </w:tc>
        <w:tc>
          <w:tcPr>
            <w:tcW w:w="3450" w:type="dxa"/>
            <w:gridSpan w:val="3"/>
            <w:vAlign w:val="center"/>
          </w:tcPr>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评审意见：</w:t>
            </w: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r w:rsidRPr="00E56B04">
              <w:rPr>
                <w:rFonts w:ascii="宋体" w:hAnsi="宋体" w:hint="eastAsia"/>
                <w:sz w:val="24"/>
              </w:rPr>
              <w:t>评委签名：</w:t>
            </w:r>
          </w:p>
          <w:p w:rsidR="00977C9A" w:rsidRPr="00E56B04" w:rsidRDefault="00977C9A" w:rsidP="00680C9E">
            <w:pPr>
              <w:snapToGrid w:val="0"/>
              <w:spacing w:line="460" w:lineRule="exact"/>
              <w:rPr>
                <w:rFonts w:ascii="宋体" w:hAnsi="宋体"/>
                <w:sz w:val="24"/>
              </w:rPr>
            </w:pPr>
          </w:p>
          <w:p w:rsidR="00977C9A" w:rsidRPr="00E56B04" w:rsidRDefault="00977C9A" w:rsidP="00680C9E">
            <w:pPr>
              <w:snapToGrid w:val="0"/>
              <w:spacing w:line="460" w:lineRule="exact"/>
              <w:rPr>
                <w:rFonts w:ascii="宋体" w:hAnsi="宋体"/>
                <w:sz w:val="24"/>
              </w:rPr>
            </w:pPr>
          </w:p>
        </w:tc>
        <w:tc>
          <w:tcPr>
            <w:tcW w:w="720" w:type="dxa"/>
            <w:gridSpan w:val="2"/>
            <w:textDirection w:val="tbRlV"/>
            <w:vAlign w:val="center"/>
          </w:tcPr>
          <w:p w:rsidR="00977C9A" w:rsidRPr="00E56B04" w:rsidRDefault="00977C9A" w:rsidP="00680C9E">
            <w:pPr>
              <w:widowControl/>
              <w:ind w:left="113" w:right="113"/>
              <w:jc w:val="left"/>
              <w:rPr>
                <w:rFonts w:ascii="宋体" w:hAnsi="宋体"/>
                <w:sz w:val="24"/>
              </w:rPr>
            </w:pPr>
            <w:r w:rsidRPr="00977C9A">
              <w:rPr>
                <w:rFonts w:ascii="宋体" w:hAnsi="宋体" w:hint="eastAsia"/>
                <w:spacing w:val="105"/>
                <w:kern w:val="0"/>
                <w:sz w:val="24"/>
                <w:fitText w:val="2520" w:id="1289481987"/>
              </w:rPr>
              <w:t>市级评审意</w:t>
            </w:r>
            <w:r w:rsidRPr="00977C9A">
              <w:rPr>
                <w:rFonts w:ascii="宋体" w:hAnsi="宋体" w:hint="eastAsia"/>
                <w:spacing w:val="15"/>
                <w:kern w:val="0"/>
                <w:sz w:val="24"/>
                <w:fitText w:val="2520" w:id="1289481987"/>
              </w:rPr>
              <w:t>见</w:t>
            </w:r>
          </w:p>
          <w:p w:rsidR="00977C9A" w:rsidRPr="00E56B04" w:rsidRDefault="00977C9A" w:rsidP="00680C9E">
            <w:pPr>
              <w:widowControl/>
              <w:ind w:left="113" w:right="113"/>
              <w:jc w:val="left"/>
              <w:rPr>
                <w:rFonts w:ascii="宋体" w:hAnsi="宋体"/>
                <w:sz w:val="24"/>
              </w:rPr>
            </w:pPr>
          </w:p>
          <w:p w:rsidR="00977C9A" w:rsidRPr="00E56B04" w:rsidRDefault="00977C9A" w:rsidP="00680C9E">
            <w:pPr>
              <w:widowControl/>
              <w:ind w:left="113" w:right="113"/>
              <w:jc w:val="left"/>
              <w:rPr>
                <w:rFonts w:ascii="宋体" w:hAnsi="宋体"/>
                <w:sz w:val="24"/>
              </w:rPr>
            </w:pPr>
            <w:r w:rsidRPr="00977C9A">
              <w:rPr>
                <w:rFonts w:ascii="宋体" w:hAnsi="宋体" w:hint="eastAsia"/>
                <w:spacing w:val="105"/>
                <w:kern w:val="0"/>
                <w:sz w:val="24"/>
                <w:fitText w:val="2520" w:id="1289481988"/>
              </w:rPr>
              <w:t>市级复评意</w:t>
            </w:r>
            <w:r w:rsidRPr="00977C9A">
              <w:rPr>
                <w:rFonts w:ascii="宋体" w:hAnsi="宋体" w:hint="eastAsia"/>
                <w:spacing w:val="15"/>
                <w:kern w:val="0"/>
                <w:sz w:val="24"/>
                <w:fitText w:val="2520" w:id="1289481988"/>
              </w:rPr>
              <w:t>见</w:t>
            </w:r>
          </w:p>
          <w:p w:rsidR="00977C9A" w:rsidRPr="00E56B04" w:rsidRDefault="00977C9A" w:rsidP="00680C9E">
            <w:pPr>
              <w:widowControl/>
              <w:ind w:left="113" w:right="113"/>
              <w:jc w:val="left"/>
              <w:rPr>
                <w:rFonts w:ascii="宋体" w:hAnsi="宋体"/>
                <w:sz w:val="24"/>
              </w:rPr>
            </w:pPr>
          </w:p>
          <w:p w:rsidR="00977C9A" w:rsidRPr="00E56B04" w:rsidRDefault="00977C9A" w:rsidP="00680C9E">
            <w:pPr>
              <w:snapToGrid w:val="0"/>
              <w:spacing w:line="460" w:lineRule="exact"/>
              <w:ind w:left="113" w:right="113"/>
              <w:rPr>
                <w:rFonts w:ascii="宋体" w:hAnsi="宋体"/>
                <w:sz w:val="24"/>
              </w:rPr>
            </w:pPr>
          </w:p>
        </w:tc>
        <w:tc>
          <w:tcPr>
            <w:tcW w:w="3394" w:type="dxa"/>
            <w:gridSpan w:val="4"/>
            <w:vAlign w:val="center"/>
          </w:tcPr>
          <w:p w:rsidR="00977C9A" w:rsidRPr="00E56B04" w:rsidRDefault="00977C9A" w:rsidP="00680C9E">
            <w:pPr>
              <w:widowControl/>
              <w:jc w:val="left"/>
              <w:rPr>
                <w:rFonts w:ascii="宋体" w:hAnsi="宋体"/>
                <w:sz w:val="24"/>
              </w:rPr>
            </w:pPr>
          </w:p>
          <w:p w:rsidR="00977C9A" w:rsidRPr="00E56B04" w:rsidRDefault="00977C9A" w:rsidP="00680C9E">
            <w:pPr>
              <w:widowControl/>
              <w:jc w:val="left"/>
              <w:rPr>
                <w:rFonts w:ascii="宋体" w:hAnsi="宋体"/>
                <w:sz w:val="24"/>
              </w:rPr>
            </w:pPr>
          </w:p>
          <w:p w:rsidR="00977C9A" w:rsidRPr="00E56B04" w:rsidRDefault="00977C9A" w:rsidP="00680C9E">
            <w:pPr>
              <w:widowControl/>
              <w:jc w:val="left"/>
              <w:rPr>
                <w:rFonts w:ascii="宋体" w:hAnsi="宋体"/>
                <w:sz w:val="24"/>
              </w:rPr>
            </w:pPr>
          </w:p>
          <w:p w:rsidR="00977C9A" w:rsidRPr="00E56B04" w:rsidRDefault="00977C9A" w:rsidP="00680C9E">
            <w:pPr>
              <w:widowControl/>
              <w:jc w:val="left"/>
              <w:rPr>
                <w:rFonts w:ascii="宋体" w:hAnsi="宋体"/>
                <w:sz w:val="24"/>
              </w:rPr>
            </w:pPr>
          </w:p>
          <w:p w:rsidR="00977C9A" w:rsidRPr="00E56B04" w:rsidRDefault="00977C9A" w:rsidP="00680C9E">
            <w:pPr>
              <w:snapToGrid w:val="0"/>
              <w:spacing w:line="460" w:lineRule="exact"/>
              <w:ind w:leftChars="520" w:left="1092" w:firstLineChars="300" w:firstLine="720"/>
              <w:rPr>
                <w:rFonts w:ascii="宋体" w:hAnsi="宋体"/>
                <w:sz w:val="24"/>
              </w:rPr>
            </w:pPr>
            <w:r w:rsidRPr="00E56B04">
              <w:rPr>
                <w:rFonts w:ascii="宋体" w:hAnsi="宋体" w:hint="eastAsia"/>
                <w:sz w:val="24"/>
              </w:rPr>
              <w:t>年  月  日</w:t>
            </w:r>
          </w:p>
        </w:tc>
      </w:tr>
    </w:tbl>
    <w:p w:rsidR="00B74047" w:rsidRDefault="00B74047"/>
    <w:p w:rsidR="00AB1D02" w:rsidRPr="0074490F" w:rsidRDefault="00D0588F" w:rsidP="00AB1D02">
      <w:pPr>
        <w:jc w:val="center"/>
        <w:rPr>
          <w:rFonts w:ascii="黑体" w:eastAsia="黑体" w:hAnsi="黑体"/>
          <w:color w:val="000000" w:themeColor="text1"/>
          <w:sz w:val="32"/>
          <w:szCs w:val="32"/>
        </w:rPr>
      </w:pPr>
      <w:r w:rsidRPr="0074490F">
        <w:rPr>
          <w:rFonts w:ascii="黑体" w:eastAsia="黑体" w:hAnsi="黑体" w:hint="eastAsia"/>
          <w:color w:val="000000" w:themeColor="text1"/>
          <w:sz w:val="32"/>
          <w:szCs w:val="32"/>
        </w:rPr>
        <w:lastRenderedPageBreak/>
        <w:t>小学“品德与社会”教学现状与对策研究</w:t>
      </w:r>
    </w:p>
    <w:p w:rsidR="00D0588F" w:rsidRPr="0074490F" w:rsidRDefault="00D0588F" w:rsidP="00AB1D02">
      <w:pPr>
        <w:rPr>
          <w:color w:val="000000" w:themeColor="text1"/>
          <w:sz w:val="28"/>
          <w:szCs w:val="32"/>
        </w:rPr>
      </w:pPr>
      <w:r w:rsidRPr="0074490F">
        <w:rPr>
          <w:rFonts w:hint="eastAsia"/>
          <w:color w:val="000000" w:themeColor="text1"/>
          <w:sz w:val="28"/>
          <w:szCs w:val="30"/>
        </w:rPr>
        <w:t>摘要：</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随着教学体制的不断改革与推进，小学“品德与社会”的教学也取得了丰富的成果，但是现阶段的教学仍然有很大的缺陷，因为“品德与社会”的教学要根据小学生的特点和相对应的课文具体内容来随时对课堂内容进行变动，以此来搭建一个依托儿童现实生活的课堂。这不仅仅对于学生全面发展有着极为重要的作用，更加重要的是能够激发学生的学习兴趣，让学生形成正确的人生观、价值观、世界观。我国有些地方对“品德与社会”重视度不够，教师对于课程的教学态度也不严谨，忽略了这门课程对于学生的影响，有的学校甚至省略了这门课程。本文现阶段的教学现状做出了简要的分析，并且提出了相应的改善措施，希望小学“品德与社会”的教学品质能够有所提升。</w:t>
      </w:r>
    </w:p>
    <w:p w:rsidR="00D0588F" w:rsidRPr="0074490F" w:rsidRDefault="00D0588F" w:rsidP="00D0588F">
      <w:pPr>
        <w:rPr>
          <w:color w:val="000000" w:themeColor="text1"/>
          <w:sz w:val="28"/>
        </w:rPr>
      </w:pPr>
      <w:r w:rsidRPr="0074490F">
        <w:rPr>
          <w:rFonts w:hint="eastAsia"/>
          <w:color w:val="000000" w:themeColor="text1"/>
          <w:sz w:val="28"/>
          <w:szCs w:val="30"/>
        </w:rPr>
        <w:t>关键词：</w:t>
      </w:r>
      <w:r w:rsidRPr="0074490F">
        <w:rPr>
          <w:rFonts w:hint="eastAsia"/>
          <w:color w:val="000000" w:themeColor="text1"/>
          <w:sz w:val="28"/>
        </w:rPr>
        <w:t>小学教学</w:t>
      </w:r>
      <w:r w:rsidRPr="0074490F">
        <w:rPr>
          <w:rFonts w:hint="eastAsia"/>
          <w:color w:val="000000" w:themeColor="text1"/>
          <w:sz w:val="28"/>
        </w:rPr>
        <w:t xml:space="preserve"> </w:t>
      </w:r>
      <w:r w:rsidRPr="0074490F">
        <w:rPr>
          <w:rFonts w:hint="eastAsia"/>
          <w:color w:val="000000" w:themeColor="text1"/>
          <w:sz w:val="28"/>
        </w:rPr>
        <w:t>品德与社会</w:t>
      </w:r>
      <w:r w:rsidRPr="0074490F">
        <w:rPr>
          <w:rFonts w:hint="eastAsia"/>
          <w:color w:val="000000" w:themeColor="text1"/>
          <w:sz w:val="28"/>
        </w:rPr>
        <w:t xml:space="preserve"> </w:t>
      </w:r>
      <w:r w:rsidRPr="0074490F">
        <w:rPr>
          <w:rFonts w:hint="eastAsia"/>
          <w:color w:val="000000" w:themeColor="text1"/>
          <w:sz w:val="28"/>
        </w:rPr>
        <w:t>教学现状</w:t>
      </w:r>
      <w:r w:rsidRPr="0074490F">
        <w:rPr>
          <w:rFonts w:hint="eastAsia"/>
          <w:color w:val="000000" w:themeColor="text1"/>
          <w:sz w:val="28"/>
        </w:rPr>
        <w:t xml:space="preserve"> </w:t>
      </w:r>
      <w:r w:rsidRPr="0074490F">
        <w:rPr>
          <w:rFonts w:hint="eastAsia"/>
          <w:color w:val="000000" w:themeColor="text1"/>
          <w:sz w:val="28"/>
        </w:rPr>
        <w:t>对策</w:t>
      </w:r>
    </w:p>
    <w:p w:rsidR="00D0588F" w:rsidRPr="0074490F" w:rsidRDefault="00D0588F" w:rsidP="00D0588F">
      <w:pPr>
        <w:rPr>
          <w:color w:val="000000" w:themeColor="text1"/>
          <w:sz w:val="28"/>
        </w:rPr>
      </w:pPr>
      <w:r w:rsidRPr="0074490F">
        <w:rPr>
          <w:rFonts w:hint="eastAsia"/>
          <w:color w:val="000000" w:themeColor="text1"/>
          <w:sz w:val="28"/>
          <w:szCs w:val="30"/>
        </w:rPr>
        <w:t>前言：</w:t>
      </w:r>
      <w:r w:rsidRPr="0074490F">
        <w:rPr>
          <w:rFonts w:hint="eastAsia"/>
          <w:color w:val="000000" w:themeColor="text1"/>
          <w:sz w:val="28"/>
        </w:rPr>
        <w:t>“品德与社会”这一学科是用来帮助中小学生培养一个良好的道德品格的，它以儿童社会生活为基础，将学生培养成具有较高道德素质的人。这一学科承担了培养社会主义国家好公民的责任，对促进课堂教学改革有着重要的作用，因此，认真的研究教学现状，提出合理化的改革政策，能够有效的提高品德与社会的教学水平，进而优化小学教学的整体效果。</w:t>
      </w:r>
    </w:p>
    <w:p w:rsidR="00D0588F" w:rsidRPr="0074490F" w:rsidRDefault="00D0588F" w:rsidP="00D0588F">
      <w:pPr>
        <w:rPr>
          <w:color w:val="000000" w:themeColor="text1"/>
          <w:sz w:val="28"/>
          <w:szCs w:val="30"/>
        </w:rPr>
      </w:pPr>
      <w:r w:rsidRPr="0074490F">
        <w:rPr>
          <w:rFonts w:hint="eastAsia"/>
          <w:color w:val="000000" w:themeColor="text1"/>
          <w:sz w:val="28"/>
          <w:szCs w:val="30"/>
        </w:rPr>
        <w:t>一、小学“品德社会”教学现状</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w:t>
      </w:r>
      <w:r w:rsidRPr="0074490F">
        <w:rPr>
          <w:rFonts w:hint="eastAsia"/>
          <w:color w:val="000000" w:themeColor="text1"/>
          <w:sz w:val="28"/>
        </w:rPr>
        <w:t>1</w:t>
      </w:r>
      <w:r w:rsidRPr="0074490F">
        <w:rPr>
          <w:rFonts w:hint="eastAsia"/>
          <w:color w:val="000000" w:themeColor="text1"/>
          <w:sz w:val="28"/>
        </w:rPr>
        <w:t>）</w:t>
      </w:r>
      <w:r w:rsidRPr="0074490F">
        <w:rPr>
          <w:rFonts w:hint="eastAsia"/>
          <w:color w:val="000000" w:themeColor="text1"/>
          <w:sz w:val="28"/>
        </w:rPr>
        <w:t xml:space="preserve"> </w:t>
      </w:r>
      <w:r w:rsidRPr="0074490F">
        <w:rPr>
          <w:rFonts w:hint="eastAsia"/>
          <w:color w:val="000000" w:themeColor="text1"/>
          <w:sz w:val="28"/>
        </w:rPr>
        <w:t>学校不够重视，对于学生学习评价的方法不够科学。应试教育是这一现象的发生的主要原因，应试教育的理念已经根深蒂固，</w:t>
      </w:r>
      <w:r w:rsidRPr="0074490F">
        <w:rPr>
          <w:rFonts w:hint="eastAsia"/>
          <w:color w:val="000000" w:themeColor="text1"/>
          <w:sz w:val="28"/>
        </w:rPr>
        <w:lastRenderedPageBreak/>
        <w:t>存在于人们的脑海里很长时间，要想彻底摆脱还需要很长时间，多数学校仍然一味地使用老一套的教学方法，忽略了素质教育的重要性，导致学校对“品德与社会”这一学科的不重视；对教室教学效果的评价时仅仅依靠片面因素，没有对学生的道德行为进行细致的评价，也没有考虑到课堂上教学过程的其他因素；教学过程中没有关于“过程与方法”的考察，也缺少对于学生创新精神的培养，不管学生是否在学习过程中有了发现问题、思考并解决问题的能力，学生很难在学习与实践过程中加深对自己的了解，无法更深一层的认识自己。</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w:t>
      </w:r>
      <w:r w:rsidRPr="0074490F">
        <w:rPr>
          <w:rFonts w:hint="eastAsia"/>
          <w:color w:val="000000" w:themeColor="text1"/>
          <w:sz w:val="28"/>
        </w:rPr>
        <w:t>2</w:t>
      </w:r>
      <w:r w:rsidRPr="0074490F">
        <w:rPr>
          <w:rFonts w:hint="eastAsia"/>
          <w:color w:val="000000" w:themeColor="text1"/>
          <w:sz w:val="28"/>
        </w:rPr>
        <w:t>）教师的不专业化以及缺少积极的引到作用。多数小学教室团队中都没有关于从事品德与社会学科的专业的教师，他们没有相应的教师资格证，只是因为学校需要这种老师，所以才不得已从事这个学科，他们不擅长这门学科，这就使得整个小学的品德与社会的教学队伍更加的不专业化。正因为这门学科学校不重视，教师队伍不专业，即使有教师从事教授这门学科，但是学校将这门学科作为考查课，没有更加有效的教学评价，教师无法参与到绩效考核中，更加打击了教师教学的积极性。学生对课堂知识的认识有限，老师又不能积极的调动课堂学生的学习热情，很难让学生在课堂有所收获，甚至是产生厌倦心理，拒绝上课。</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w:t>
      </w:r>
      <w:r w:rsidRPr="0074490F">
        <w:rPr>
          <w:rFonts w:hint="eastAsia"/>
          <w:color w:val="000000" w:themeColor="text1"/>
          <w:sz w:val="28"/>
        </w:rPr>
        <w:t>3</w:t>
      </w:r>
      <w:r w:rsidRPr="0074490F">
        <w:rPr>
          <w:rFonts w:hint="eastAsia"/>
          <w:color w:val="000000" w:themeColor="text1"/>
          <w:sz w:val="28"/>
        </w:rPr>
        <w:t>）教学脱离实际生活，缺少教研活动。因为课程开展的教研活动太少，当遇到这门课程时，不仅学生不懂的应该怎么进行，就连老师也有可能搞不清课程的基本环节，有的老师就将品德与社会课当做了语文课进行讲解，太过于在乎对于文章字句的理解，而忽略了生</w:t>
      </w:r>
      <w:r w:rsidRPr="0074490F">
        <w:rPr>
          <w:rFonts w:hint="eastAsia"/>
          <w:color w:val="000000" w:themeColor="text1"/>
          <w:sz w:val="28"/>
        </w:rPr>
        <w:lastRenderedPageBreak/>
        <w:t>活实际在其中扮演的重要角色，大大的违背了课程学习一开始的目标与计划，不能按照儿童的逻辑思维加以引导形成正确的生活价值观。所有的教学几乎都是偏于一隅，无法将课程与社会生活实际联系融合在一起。</w:t>
      </w:r>
    </w:p>
    <w:p w:rsidR="00D0588F" w:rsidRPr="0074490F" w:rsidRDefault="00D0588F" w:rsidP="00D0588F">
      <w:pPr>
        <w:rPr>
          <w:color w:val="000000" w:themeColor="text1"/>
          <w:sz w:val="28"/>
          <w:szCs w:val="30"/>
        </w:rPr>
      </w:pPr>
      <w:r w:rsidRPr="0074490F">
        <w:rPr>
          <w:rFonts w:hint="eastAsia"/>
          <w:color w:val="000000" w:themeColor="text1"/>
          <w:sz w:val="28"/>
          <w:szCs w:val="30"/>
        </w:rPr>
        <w:t>二、改变“品德与社会”教学现状的建议</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w:t>
      </w:r>
      <w:r w:rsidRPr="0074490F">
        <w:rPr>
          <w:rFonts w:hint="eastAsia"/>
          <w:color w:val="000000" w:themeColor="text1"/>
          <w:sz w:val="28"/>
        </w:rPr>
        <w:t>1</w:t>
      </w:r>
      <w:r w:rsidRPr="0074490F">
        <w:rPr>
          <w:rFonts w:hint="eastAsia"/>
          <w:color w:val="000000" w:themeColor="text1"/>
          <w:sz w:val="28"/>
        </w:rPr>
        <w:t>）重视学科，合理分配教师资源。改变传统的应试教育思想，结合教育教学和素质教育教学，将品德与社会这一学科和语文等学科同等对待，并列为素质教育的重要部分，因为从某中意义上来讲，这门学科主要是讲思想教育和学科教学与社会实践能力相互结合，为了以后人才的培养打好基础，造就适应社会发展潮流的人才。</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学校要转变固有的陈旧思想，不可认为品德与社会这一学科可有可无，认为其实辅助学科，要转变认知，改变以前教师资源分配随意性，要采用专业老师进行课业学习辅导，大力推广这门课程，根据学校自身情况适当的加以调整，努力教学。</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w:t>
      </w:r>
      <w:r w:rsidRPr="0074490F">
        <w:rPr>
          <w:rFonts w:hint="eastAsia"/>
          <w:color w:val="000000" w:themeColor="text1"/>
          <w:sz w:val="28"/>
        </w:rPr>
        <w:t>2</w:t>
      </w:r>
      <w:r w:rsidRPr="0074490F">
        <w:rPr>
          <w:rFonts w:hint="eastAsia"/>
          <w:color w:val="000000" w:themeColor="text1"/>
          <w:sz w:val="28"/>
        </w:rPr>
        <w:t>）加强教师队伍的培训，提高教师任教能力。学校应该多多组织教师学习课程标准，把握教材，对教师进行学科的教材考评，大力提高教师队伍整体水平，与学生以诚相待，有着强烈的责任感。在教学过程中，教师要有着教学科研的能力，能够适应现代化小学理念，自我调控能力强，时刻与时俱进，多反思勤动手，在研究自己所学知识的同时拓宽自身知识，将学生品德教育和教学相互联系在一起，便于教学。</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w:t>
      </w:r>
      <w:r w:rsidRPr="0074490F">
        <w:rPr>
          <w:rFonts w:hint="eastAsia"/>
          <w:color w:val="000000" w:themeColor="text1"/>
          <w:sz w:val="28"/>
        </w:rPr>
        <w:t>3</w:t>
      </w:r>
      <w:r w:rsidRPr="0074490F">
        <w:rPr>
          <w:rFonts w:hint="eastAsia"/>
          <w:color w:val="000000" w:themeColor="text1"/>
          <w:sz w:val="28"/>
        </w:rPr>
        <w:t>）健全教研制度，激活课堂。为了促进品德学科教研顺利进</w:t>
      </w:r>
      <w:r w:rsidRPr="0074490F">
        <w:rPr>
          <w:rFonts w:hint="eastAsia"/>
          <w:color w:val="000000" w:themeColor="text1"/>
          <w:sz w:val="28"/>
        </w:rPr>
        <w:lastRenderedPageBreak/>
        <w:t>行，合理的教研制度是必不可少的，要根据学校的实际情况制定与之对应的教研制度。</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首先，分析学校教师团队的工作特征，合理分配时间，不与其他学科发生时间冲突，将学科纳入综合素质考评中；然后要选择工作热情，有责任心的教师领导开展教研活动，明确目标；最后就是开展相应的课题研究，根据学生的具体情况构建具体的研究课题，并且人人积极参与到研究过程中去，做到学习研究方向明确，结果正确。</w:t>
      </w:r>
    </w:p>
    <w:p w:rsidR="00D0588F" w:rsidRPr="0074490F" w:rsidRDefault="00D0588F" w:rsidP="00D0588F">
      <w:pPr>
        <w:rPr>
          <w:color w:val="000000" w:themeColor="text1"/>
          <w:sz w:val="28"/>
          <w:szCs w:val="30"/>
        </w:rPr>
      </w:pPr>
      <w:r w:rsidRPr="0074490F">
        <w:rPr>
          <w:rFonts w:hint="eastAsia"/>
          <w:color w:val="000000" w:themeColor="text1"/>
          <w:sz w:val="28"/>
          <w:szCs w:val="30"/>
        </w:rPr>
        <w:t>结束语：</w:t>
      </w:r>
    </w:p>
    <w:p w:rsidR="00D0588F" w:rsidRPr="0074490F" w:rsidRDefault="00D0588F" w:rsidP="0074490F">
      <w:pPr>
        <w:ind w:firstLineChars="200" w:firstLine="560"/>
        <w:rPr>
          <w:color w:val="000000" w:themeColor="text1"/>
          <w:sz w:val="28"/>
        </w:rPr>
      </w:pPr>
      <w:r w:rsidRPr="0074490F">
        <w:rPr>
          <w:rFonts w:hint="eastAsia"/>
          <w:color w:val="000000" w:themeColor="text1"/>
          <w:sz w:val="28"/>
        </w:rPr>
        <w:t>小学“品德与社会”教学的有效实施不仅能够培养学生正确的思想道德价值观，更是素质教育成功的一大典范，对于学生健康成长有着极为重要的作用，在实际教学中要课内外相互结合，让课程回归到实际生活中，不断的改进教学手段，让学生不断进步。</w:t>
      </w:r>
    </w:p>
    <w:p w:rsidR="00D0588F" w:rsidRPr="0074490F" w:rsidRDefault="00D0588F" w:rsidP="00D0588F">
      <w:pPr>
        <w:rPr>
          <w:color w:val="000000" w:themeColor="text1"/>
          <w:sz w:val="28"/>
          <w:szCs w:val="30"/>
        </w:rPr>
      </w:pPr>
      <w:r w:rsidRPr="0074490F">
        <w:rPr>
          <w:rFonts w:hint="eastAsia"/>
          <w:color w:val="000000" w:themeColor="text1"/>
          <w:sz w:val="28"/>
          <w:szCs w:val="30"/>
        </w:rPr>
        <w:t>参考文献：</w:t>
      </w:r>
    </w:p>
    <w:p w:rsidR="00D0588F" w:rsidRPr="0074490F" w:rsidRDefault="00D0588F" w:rsidP="00D0588F">
      <w:pPr>
        <w:pStyle w:val="1"/>
        <w:numPr>
          <w:ilvl w:val="0"/>
          <w:numId w:val="1"/>
        </w:numPr>
        <w:ind w:firstLineChars="0"/>
        <w:rPr>
          <w:rFonts w:eastAsia="宋体"/>
          <w:color w:val="000000" w:themeColor="text1"/>
          <w:sz w:val="28"/>
          <w:szCs w:val="24"/>
        </w:rPr>
      </w:pPr>
      <w:r w:rsidRPr="0074490F">
        <w:rPr>
          <w:rFonts w:eastAsia="宋体" w:hint="eastAsia"/>
          <w:color w:val="000000" w:themeColor="text1"/>
          <w:sz w:val="28"/>
          <w:szCs w:val="24"/>
        </w:rPr>
        <w:t>廖定洪</w:t>
      </w:r>
      <w:r w:rsidRPr="0074490F">
        <w:rPr>
          <w:rFonts w:eastAsia="宋体" w:hint="eastAsia"/>
          <w:color w:val="000000" w:themeColor="text1"/>
          <w:sz w:val="28"/>
          <w:szCs w:val="24"/>
        </w:rPr>
        <w:t>.</w:t>
      </w:r>
      <w:r w:rsidRPr="0074490F">
        <w:rPr>
          <w:rFonts w:eastAsia="宋体" w:hint="eastAsia"/>
          <w:color w:val="000000" w:themeColor="text1"/>
          <w:sz w:val="28"/>
          <w:szCs w:val="24"/>
        </w:rPr>
        <w:t>谈小学思想品德课程资源开发</w:t>
      </w:r>
      <w:r w:rsidRPr="0074490F">
        <w:rPr>
          <w:rFonts w:eastAsia="宋体" w:hint="eastAsia"/>
          <w:color w:val="000000" w:themeColor="text1"/>
          <w:sz w:val="28"/>
          <w:szCs w:val="24"/>
        </w:rPr>
        <w:t>[J].</w:t>
      </w:r>
      <w:r w:rsidRPr="0074490F">
        <w:rPr>
          <w:rFonts w:eastAsia="宋体" w:hint="eastAsia"/>
          <w:color w:val="000000" w:themeColor="text1"/>
          <w:sz w:val="28"/>
          <w:szCs w:val="24"/>
        </w:rPr>
        <w:t>中国校外教育，</w:t>
      </w:r>
      <w:r w:rsidRPr="0074490F">
        <w:rPr>
          <w:rFonts w:eastAsia="宋体" w:hint="eastAsia"/>
          <w:color w:val="000000" w:themeColor="text1"/>
          <w:sz w:val="28"/>
          <w:szCs w:val="24"/>
        </w:rPr>
        <w:t>2012</w:t>
      </w:r>
      <w:r w:rsidRPr="0074490F">
        <w:rPr>
          <w:rFonts w:eastAsia="宋体" w:hint="eastAsia"/>
          <w:color w:val="000000" w:themeColor="text1"/>
          <w:sz w:val="28"/>
          <w:szCs w:val="24"/>
        </w:rPr>
        <w:t>（</w:t>
      </w:r>
      <w:r w:rsidRPr="0074490F">
        <w:rPr>
          <w:rFonts w:eastAsia="宋体" w:hint="eastAsia"/>
          <w:color w:val="000000" w:themeColor="text1"/>
          <w:sz w:val="28"/>
          <w:szCs w:val="24"/>
        </w:rPr>
        <w:t>32</w:t>
      </w:r>
      <w:r w:rsidRPr="0074490F">
        <w:rPr>
          <w:rFonts w:eastAsia="宋体" w:hint="eastAsia"/>
          <w:color w:val="000000" w:themeColor="text1"/>
          <w:sz w:val="28"/>
          <w:szCs w:val="24"/>
        </w:rPr>
        <w:t>）</w:t>
      </w:r>
    </w:p>
    <w:p w:rsidR="00D0588F" w:rsidRPr="0074490F" w:rsidRDefault="00D0588F" w:rsidP="00D0588F">
      <w:pPr>
        <w:pStyle w:val="1"/>
        <w:numPr>
          <w:ilvl w:val="0"/>
          <w:numId w:val="1"/>
        </w:numPr>
        <w:ind w:firstLineChars="0"/>
        <w:rPr>
          <w:rFonts w:eastAsia="宋体"/>
          <w:color w:val="000000" w:themeColor="text1"/>
          <w:sz w:val="28"/>
          <w:szCs w:val="24"/>
        </w:rPr>
      </w:pPr>
      <w:r w:rsidRPr="0074490F">
        <w:rPr>
          <w:rFonts w:eastAsia="宋体" w:hint="eastAsia"/>
          <w:color w:val="000000" w:themeColor="text1"/>
          <w:sz w:val="28"/>
          <w:szCs w:val="24"/>
        </w:rPr>
        <w:t>林湛</w:t>
      </w:r>
      <w:r w:rsidRPr="0074490F">
        <w:rPr>
          <w:rFonts w:eastAsia="宋体" w:hint="eastAsia"/>
          <w:color w:val="000000" w:themeColor="text1"/>
          <w:sz w:val="28"/>
          <w:szCs w:val="24"/>
        </w:rPr>
        <w:t>.</w:t>
      </w:r>
      <w:r w:rsidRPr="0074490F">
        <w:rPr>
          <w:rFonts w:eastAsia="宋体" w:hint="eastAsia"/>
          <w:color w:val="000000" w:themeColor="text1"/>
          <w:sz w:val="28"/>
          <w:szCs w:val="24"/>
        </w:rPr>
        <w:t>试析《品德与生活》课堂教学活动的有效实施</w:t>
      </w:r>
      <w:r w:rsidRPr="0074490F">
        <w:rPr>
          <w:rFonts w:eastAsia="宋体" w:hint="eastAsia"/>
          <w:color w:val="000000" w:themeColor="text1"/>
          <w:sz w:val="28"/>
          <w:szCs w:val="24"/>
        </w:rPr>
        <w:t>[J</w:t>
      </w:r>
      <w:r w:rsidRPr="0074490F">
        <w:rPr>
          <w:rFonts w:eastAsia="宋体"/>
          <w:color w:val="000000" w:themeColor="text1"/>
          <w:sz w:val="28"/>
          <w:szCs w:val="24"/>
        </w:rPr>
        <w:t>]</w:t>
      </w:r>
      <w:r w:rsidRPr="0074490F">
        <w:rPr>
          <w:rFonts w:eastAsia="宋体" w:hint="eastAsia"/>
          <w:color w:val="000000" w:themeColor="text1"/>
          <w:sz w:val="28"/>
          <w:szCs w:val="24"/>
        </w:rPr>
        <w:t>.</w:t>
      </w:r>
      <w:r w:rsidRPr="0074490F">
        <w:rPr>
          <w:rFonts w:eastAsia="宋体" w:hint="eastAsia"/>
          <w:color w:val="000000" w:themeColor="text1"/>
          <w:sz w:val="28"/>
          <w:szCs w:val="24"/>
        </w:rPr>
        <w:t>福建论坛（社科教育），</w:t>
      </w:r>
      <w:r w:rsidRPr="0074490F">
        <w:rPr>
          <w:rFonts w:eastAsia="宋体" w:hint="eastAsia"/>
          <w:color w:val="000000" w:themeColor="text1"/>
          <w:sz w:val="28"/>
          <w:szCs w:val="24"/>
        </w:rPr>
        <w:t>2009</w:t>
      </w:r>
      <w:r w:rsidRPr="0074490F">
        <w:rPr>
          <w:rFonts w:eastAsia="宋体" w:hint="eastAsia"/>
          <w:color w:val="000000" w:themeColor="text1"/>
          <w:sz w:val="28"/>
          <w:szCs w:val="24"/>
        </w:rPr>
        <w:t>（</w:t>
      </w:r>
      <w:r w:rsidRPr="0074490F">
        <w:rPr>
          <w:rFonts w:eastAsia="宋体" w:hint="eastAsia"/>
          <w:color w:val="000000" w:themeColor="text1"/>
          <w:sz w:val="28"/>
          <w:szCs w:val="24"/>
        </w:rPr>
        <w:t>1</w:t>
      </w:r>
      <w:r w:rsidRPr="0074490F">
        <w:rPr>
          <w:rFonts w:eastAsia="宋体" w:hint="eastAsia"/>
          <w:color w:val="000000" w:themeColor="text1"/>
          <w:sz w:val="28"/>
          <w:szCs w:val="24"/>
        </w:rPr>
        <w:t>）</w:t>
      </w:r>
    </w:p>
    <w:p w:rsidR="00D0588F" w:rsidRPr="0074490F" w:rsidRDefault="00D0588F" w:rsidP="00D0588F">
      <w:pPr>
        <w:pStyle w:val="1"/>
        <w:numPr>
          <w:ilvl w:val="0"/>
          <w:numId w:val="1"/>
        </w:numPr>
        <w:ind w:firstLineChars="0"/>
        <w:rPr>
          <w:rFonts w:eastAsia="宋体"/>
          <w:color w:val="000000" w:themeColor="text1"/>
          <w:sz w:val="28"/>
          <w:szCs w:val="24"/>
        </w:rPr>
      </w:pPr>
      <w:r w:rsidRPr="0074490F">
        <w:rPr>
          <w:rFonts w:eastAsia="宋体" w:hint="eastAsia"/>
          <w:color w:val="000000" w:themeColor="text1"/>
          <w:sz w:val="28"/>
          <w:szCs w:val="24"/>
        </w:rPr>
        <w:t>曹晓健</w:t>
      </w:r>
      <w:r w:rsidRPr="0074490F">
        <w:rPr>
          <w:rFonts w:eastAsia="宋体" w:hint="eastAsia"/>
          <w:color w:val="000000" w:themeColor="text1"/>
          <w:sz w:val="28"/>
          <w:szCs w:val="24"/>
        </w:rPr>
        <w:t>.</w:t>
      </w:r>
      <w:r w:rsidRPr="0074490F">
        <w:rPr>
          <w:rFonts w:eastAsia="宋体" w:hint="eastAsia"/>
          <w:color w:val="000000" w:themeColor="text1"/>
          <w:sz w:val="28"/>
          <w:szCs w:val="24"/>
        </w:rPr>
        <w:t>提高小学《品德与社会》课堂教学有效性的策略</w:t>
      </w:r>
      <w:r w:rsidRPr="0074490F">
        <w:rPr>
          <w:rFonts w:eastAsia="宋体" w:hint="eastAsia"/>
          <w:color w:val="000000" w:themeColor="text1"/>
          <w:sz w:val="28"/>
          <w:szCs w:val="24"/>
        </w:rPr>
        <w:t>[J</w:t>
      </w:r>
      <w:r w:rsidRPr="0074490F">
        <w:rPr>
          <w:rFonts w:eastAsia="宋体"/>
          <w:color w:val="000000" w:themeColor="text1"/>
          <w:sz w:val="28"/>
          <w:szCs w:val="24"/>
        </w:rPr>
        <w:t>]</w:t>
      </w:r>
      <w:r w:rsidRPr="0074490F">
        <w:rPr>
          <w:rFonts w:eastAsia="宋体" w:hint="eastAsia"/>
          <w:color w:val="000000" w:themeColor="text1"/>
          <w:sz w:val="28"/>
          <w:szCs w:val="24"/>
        </w:rPr>
        <w:t>.</w:t>
      </w:r>
      <w:r w:rsidRPr="0074490F">
        <w:rPr>
          <w:rFonts w:eastAsia="宋体" w:hint="eastAsia"/>
          <w:color w:val="000000" w:themeColor="text1"/>
          <w:sz w:val="28"/>
          <w:szCs w:val="24"/>
        </w:rPr>
        <w:t>新课程学习：下，</w:t>
      </w:r>
      <w:r w:rsidRPr="0074490F">
        <w:rPr>
          <w:rFonts w:eastAsia="宋体" w:hint="eastAsia"/>
          <w:color w:val="000000" w:themeColor="text1"/>
          <w:sz w:val="28"/>
          <w:szCs w:val="24"/>
        </w:rPr>
        <w:t>2013</w:t>
      </w:r>
    </w:p>
    <w:sectPr w:rsidR="00D0588F" w:rsidRPr="0074490F" w:rsidSect="002E5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C3" w:rsidRDefault="00F40AC3" w:rsidP="000A2347">
      <w:r>
        <w:separator/>
      </w:r>
    </w:p>
  </w:endnote>
  <w:endnote w:type="continuationSeparator" w:id="1">
    <w:p w:rsidR="00F40AC3" w:rsidRDefault="00F40AC3" w:rsidP="000A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C3" w:rsidRDefault="00F40AC3" w:rsidP="000A2347">
      <w:r>
        <w:separator/>
      </w:r>
    </w:p>
  </w:footnote>
  <w:footnote w:type="continuationSeparator" w:id="1">
    <w:p w:rsidR="00F40AC3" w:rsidRDefault="00F40AC3" w:rsidP="000A2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B5E7F"/>
    <w:multiLevelType w:val="multilevel"/>
    <w:tmpl w:val="478B5E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C9A"/>
    <w:rsid w:val="00020A5D"/>
    <w:rsid w:val="000A2347"/>
    <w:rsid w:val="000F1EA6"/>
    <w:rsid w:val="0022690A"/>
    <w:rsid w:val="002317B8"/>
    <w:rsid w:val="002E5861"/>
    <w:rsid w:val="00403333"/>
    <w:rsid w:val="00414C53"/>
    <w:rsid w:val="0049232B"/>
    <w:rsid w:val="005A1E73"/>
    <w:rsid w:val="007143D3"/>
    <w:rsid w:val="0074490F"/>
    <w:rsid w:val="00805B90"/>
    <w:rsid w:val="008D1110"/>
    <w:rsid w:val="00977C9A"/>
    <w:rsid w:val="00AB1D02"/>
    <w:rsid w:val="00B74047"/>
    <w:rsid w:val="00D0588F"/>
    <w:rsid w:val="00F40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347"/>
    <w:rPr>
      <w:rFonts w:ascii="Times New Roman" w:eastAsia="宋体" w:hAnsi="Times New Roman" w:cs="Times New Roman"/>
      <w:sz w:val="18"/>
      <w:szCs w:val="18"/>
    </w:rPr>
  </w:style>
  <w:style w:type="paragraph" w:styleId="a4">
    <w:name w:val="footer"/>
    <w:basedOn w:val="a"/>
    <w:link w:val="Char0"/>
    <w:uiPriority w:val="99"/>
    <w:semiHidden/>
    <w:unhideWhenUsed/>
    <w:rsid w:val="000A23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347"/>
    <w:rPr>
      <w:rFonts w:ascii="Times New Roman" w:eastAsia="宋体" w:hAnsi="Times New Roman" w:cs="Times New Roman"/>
      <w:sz w:val="18"/>
      <w:szCs w:val="18"/>
    </w:rPr>
  </w:style>
  <w:style w:type="paragraph" w:customStyle="1" w:styleId="1">
    <w:name w:val="列出段落1"/>
    <w:basedOn w:val="a"/>
    <w:uiPriority w:val="34"/>
    <w:qFormat/>
    <w:rsid w:val="00D0588F"/>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刘坤</dc:creator>
  <cp:keywords/>
  <dc:description/>
  <cp:lastModifiedBy>SJ</cp:lastModifiedBy>
  <cp:revision>10</cp:revision>
  <dcterms:created xsi:type="dcterms:W3CDTF">2016-12-27T07:47:00Z</dcterms:created>
  <dcterms:modified xsi:type="dcterms:W3CDTF">2017-03-24T02:02:00Z</dcterms:modified>
</cp:coreProperties>
</file>