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  <w:lang w:eastAsia="zh-CN"/>
        </w:rPr>
        <w:t>三</w:t>
      </w:r>
      <w:r>
        <w:rPr>
          <w:rFonts w:hint="eastAsia" w:ascii="宋体" w:hAnsi="宋体"/>
          <w:b/>
          <w:bCs/>
          <w:sz w:val="30"/>
        </w:rPr>
        <w:t>、</w:t>
      </w:r>
      <w:bookmarkStart w:id="0" w:name="_GoBack"/>
      <w:r>
        <w:rPr>
          <w:rFonts w:hint="eastAsia" w:ascii="宋体" w:hAnsi="宋体"/>
          <w:b/>
          <w:bCs/>
          <w:sz w:val="30"/>
        </w:rPr>
        <w:t>完成课题的可行性分析</w:t>
      </w:r>
      <w:bookmarkEnd w:id="0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71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已取得相关研究成果的社会评价（引用、转载、获奖及被采纳情况），主要参考文献（限填10项）；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71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·主要参加者的学术背景和研究经验、组成结构（如职务、专业、年龄等）；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71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·完成课题的保障条件（如研究资料、实验仪器设备、配套经费、研究时间及所在单位实验条件等）。                                               （限1500字内）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主要参考文献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袁玉霞 《浅谈希沃白板在初中道德与法治教学中的运用-以“深深浅浅话友谊”一课为例》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巫小燕 《巧用希沃白板演绎精彩的道德与法治课堂》，2020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魏容 《浅谈电子白板在道德与法治课堂的运用》，2018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马静燕 《希沃白板5在道德与法治课堂中的有效运用》，2019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汤晓芬《巧用希沃白板，演绎精彩的道德与法治课堂》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吴宣成，李朝志 《用好希沃白板5 助力道法课堂教学》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主要参加者</w:t>
            </w:r>
          </w:p>
          <w:p>
            <w:pPr>
              <w:numPr>
                <w:ilvl w:val="0"/>
                <w:numId w:val="0"/>
              </w:numPr>
              <w:ind w:leftChars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于满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教师，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本科学历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教研组长。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负责课题方案的制定，课题研究的具体实施，对课题实验进行宏观调控，对实验资料过程进行合理调配。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王文丽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岁，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教师，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研究生学历。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突出课件制作优势，在课题实验中重点承担新课型及新课件的开发与应用工作。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岁，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二级教师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，本科学历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参与课件开发及应用，突出材料优势，搞好课题实验各阶段的文字工作。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吕绍颖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岁，一级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，本科学历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负责抓好每个阶段实验及总结，负责各个环节的组织落实。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王颖及其他老师共同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参与信息网络环境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管理和资源库的建立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课题的实施保障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1.学校建有规范的图书室和阅览室，藏书69119册，教师用书、资料丰富。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2.学校开通了100M光纤，每个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都配有电脑，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可以制作课堂所需的白板课件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希沃白板课件库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拥有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各年级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丰富的学科教学资源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可供老师们参考使用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教室多媒体支持白板操作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教学实践。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四、学校实验条件</w:t>
            </w:r>
          </w:p>
          <w:p>
            <w:pPr>
              <w:numPr>
                <w:ilvl w:val="0"/>
                <w:numId w:val="0"/>
              </w:numPr>
              <w:ind w:firstLine="560" w:firstLineChars="200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学校每个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教室设施严格参照天津市教育技术装备配备目录设施配备，十分规范且设施先进齐备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多媒体教学设备一应俱全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可以在课堂运用希沃白板进行教学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。满足了军粮城地区的孩子们就近入学、享受优质教育的需求。</w:t>
            </w: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B754A"/>
    <w:multiLevelType w:val="singleLevel"/>
    <w:tmpl w:val="070B75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38CF"/>
    <w:rsid w:val="48D9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2022-05-05T05:56:00Z</dcterms:created>
  <dc:creator>Administrator</dc:creator>
  <cp:lastModifiedBy>Administrator</cp:lastModifiedBy>
  <dcterms:modified xsi:type="dcterms:W3CDTF">2022-05-05T05:56:57Z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2891D323F0634420AF31AAE663062A1B</vt:lpwstr>
  </property>
</Properties>
</file>