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24"/>
          <w:szCs w:val="24"/>
        </w:rPr>
      </w:pPr>
      <w:r>
        <w:rPr>
          <w:rFonts w:hint="eastAsia"/>
          <w:b/>
          <w:bCs/>
          <w:sz w:val="36"/>
          <w:szCs w:val="36"/>
        </w:rPr>
        <w:t>信息技术与初中实验教学深度融合的创新实践研究开题报告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ascii="仿宋_GB2312" w:eastAsia="仿宋_GB2312" w:cs="仿宋_GB2312"/>
          <w:b/>
          <w:bCs/>
          <w:color w:val="333333"/>
          <w:spacing w:val="0"/>
          <w:sz w:val="24"/>
          <w:szCs w:val="24"/>
          <w:bdr w:val="none" w:color="auto" w:sz="0" w:space="0"/>
        </w:rPr>
        <w:t>一、</w:t>
      </w:r>
      <w:r>
        <w:rPr>
          <w:rFonts w:hint="eastAsia" w:ascii="仿宋_GB2312" w:eastAsia="仿宋_GB2312" w:cs="仿宋_GB2312"/>
          <w:b/>
          <w:bCs/>
          <w:color w:val="333333"/>
          <w:spacing w:val="0"/>
          <w:sz w:val="24"/>
          <w:szCs w:val="24"/>
          <w:bdr w:val="none" w:color="auto" w:sz="0" w:space="0"/>
        </w:rPr>
        <w:t>课题提出的背景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color w:val="333333"/>
          <w:spacing w:val="0"/>
          <w:sz w:val="24"/>
          <w:szCs w:val="24"/>
          <w:bdr w:val="none" w:color="auto" w:sz="0" w:space="0"/>
        </w:rPr>
        <w:t>信息技术是当今世界科学技术领域最活跃、发展最迅速、影响最广泛的因素之一。信息技术的飞速发展，不仅深刻地改变着人类的生活方式和工作方式，而且深刻地改变着人类的教育方式、学习方式乃至思维方式。以多媒体和网络技术为核心的信息技术已成为拓展人类能力的创造性工具，“信息技术的发展，使人们的学习和交流打破了过去的时空界限，为人类能力的提高和发挥作用带来了新的空间。”为了适应这个发展趋势，信息技术与课程的融合创新已经势在必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color w:val="333333"/>
          <w:spacing w:val="0"/>
          <w:sz w:val="24"/>
          <w:szCs w:val="24"/>
          <w:bdr w:val="none" w:color="auto" w:sz="0" w:space="0"/>
        </w:rPr>
        <w:t>信息技术与学科课程的融合创新，是信息化时代发展的需要，是教学手段现代化的需要，是实施基于信息技术背景下新课程的需要，加强信息技术与学科课程的创新实践意义重大。科学地运用信息技术，促进教学实践活动的整体优化，这是深化教育改革的需要，也是摆在我们教师面前的迫切任务。教师必须进一步从学科的角度来研究如何更好地使用信息技术来帮助自己的教学，把信息技术有机地与学科课程进行创新融合，才能更好地适应时代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color w:val="333333"/>
          <w:spacing w:val="0"/>
          <w:sz w:val="24"/>
          <w:szCs w:val="24"/>
          <w:bdr w:val="none" w:color="auto" w:sz="0" w:space="0"/>
        </w:rPr>
        <w:t>素质教育的主要目标要求之一是培养学生的创新精神和实践能力。传统的实验教学虽然也有知识、操作及各种能力的要求，但其核心仍停留在基础知识的学习和基本技能的培养上，追求反复记忆和重复训练的次数，其结果只能培养大量模仿型或熟练操作型人才的“实验操作工”，这显然己经不能完全适应当今以培养学生实验创新能力为核心的素质教育的需要。面向素质教育的基础教育改革以现代信息技术为基础，可以从三个方面概括：一是信息素养是渗透素质教育的核心要素；二是信息技术引发学习的革命；三是教育信息化是中国教育实现跨越式发展的必经之路。可见在基础教育改革中，借助现代信息技术是符合素质教育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color w:val="333333"/>
          <w:spacing w:val="0"/>
          <w:sz w:val="24"/>
          <w:szCs w:val="24"/>
          <w:bdr w:val="none" w:color="auto" w:sz="0" w:space="0"/>
        </w:rPr>
        <w:t>中学理化生学科是以实验为基础的学科实验教学，是学科教学中的一个重要的组成部分。上好实验课不仅能帮助学生正确理解和运用理论知识，还能牢固掌握基本技能，而且还能培养学生的各种能力。目前在初中实验教学实践中，会有很多客观的因素影响实验教学效果。如学生对知识的理解和接受能力的不同，实验仪器本身的局限性等。结果导致许多学生自己动手操作实验能力不强，实验知识掌握不牢。因此在强调培养学生综合实验能力的同时，怎样采取更有效的实验教学途径已经成为一个引人关注的研究领域。如今随着以计算机和网络为主的信息技术的迅速发展，教育理念的不断更新，信息技术和各学科之间的整合已逐渐成为课程教学改革的趋势。信息技术与学科整合为学生学习创造了全方位的学习环境。特别是对实验的学习更为重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color w:val="333333"/>
          <w:spacing w:val="0"/>
          <w:sz w:val="24"/>
          <w:szCs w:val="24"/>
          <w:bdr w:val="none" w:color="auto" w:sz="0" w:space="0"/>
        </w:rPr>
        <w:t>在实验课堂教学中充分运用现代教育多媒体技术，打破由教师主宰整个教学活动进程而把学生置于被动地位的传统的教学习惯与常规，构建现代信息技术支持下的新型初中实验课程高效课堂，调动学生学习兴趣，充分发挥学生在学习过程中的主动性、积极性与创造性，使学生在学习目标明确的前提下，真正成为信息加工的主体和知识意义的主动构建者，而不单纯是外部刺激的被动接受者和知识灌输的对象，达到教学过程最优化，使学生获得最佳学习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b/>
          <w:bCs/>
          <w:color w:val="333333"/>
          <w:spacing w:val="0"/>
          <w:sz w:val="24"/>
          <w:szCs w:val="24"/>
          <w:bdr w:val="none" w:color="auto" w:sz="0" w:space="0"/>
        </w:rPr>
        <w:t>二、有关概念的界定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color w:val="333333"/>
          <w:spacing w:val="0"/>
          <w:sz w:val="24"/>
          <w:szCs w:val="24"/>
          <w:bdr w:val="none" w:color="auto" w:sz="0" w:space="0"/>
        </w:rPr>
        <w:t>1、实验教学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color w:val="333333"/>
          <w:spacing w:val="0"/>
          <w:sz w:val="24"/>
          <w:szCs w:val="24"/>
          <w:bdr w:val="none" w:color="auto" w:sz="0" w:space="0"/>
        </w:rPr>
        <w:t>在物理化学生物等教学活动中，以实验作为重要教学内容的教学，称为实验教学。具体说是指根据教学目的、学生的认识水平、教学条件，有目的地安排、设计一些类似科学实验的模式、程序，在规定的较短时间内进行实验操作，以达到实验目的要求的教学实践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color w:val="333333"/>
          <w:spacing w:val="0"/>
          <w:sz w:val="24"/>
          <w:szCs w:val="24"/>
          <w:bdr w:val="none" w:color="auto" w:sz="0" w:space="0"/>
        </w:rPr>
        <w:t>在传统的实验教学方法中，教师在教学中往往是边演示边讲解，许多教师生怕学生不能快速地学会操作方法，常常演示讲解得很仔细，还反复地强调操作要领，殊不知这种做法（教学法）不仅过多的占去了学生的实践时间，限制了学生发挥自己创造能力的空间和余地，不利于学生创新能力的培养。如果利用现代的信息技术不仅可以使学生快速地掌握实验方法，而且能快速地掌握实验要领，有利于提高生物实验的教学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color w:val="333333"/>
          <w:spacing w:val="0"/>
          <w:sz w:val="24"/>
          <w:szCs w:val="24"/>
          <w:bdr w:val="none" w:color="auto" w:sz="0" w:space="0"/>
        </w:rPr>
        <w:t>2、信息技术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color w:val="333333"/>
          <w:spacing w:val="0"/>
          <w:sz w:val="24"/>
          <w:szCs w:val="24"/>
          <w:bdr w:val="none" w:color="auto" w:sz="0" w:space="0"/>
        </w:rPr>
        <w:t>“信息技术”是信息社会使用频率最高的词之一。人们对信息技术的定义，因使用的目的、范围、层次不同所以表述的也各不同。信息技术有狭义和广义之分。狭义的理解认为可以从三个方面介绍：（1）将信息技术等同于计算机；（2）技术信息技术是计算机与通信技术的结合；（3）信息技术是计算机技术加通信技术加控制技术。广义的理解认为信息技术是指完成信息的获取、传递、加工、再生和使用等功能的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color w:val="333333"/>
          <w:spacing w:val="0"/>
          <w:sz w:val="24"/>
          <w:szCs w:val="24"/>
          <w:bdr w:val="none" w:color="auto" w:sz="0" w:space="0"/>
        </w:rPr>
        <w:t>3、深度融合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color w:val="333333"/>
          <w:spacing w:val="0"/>
          <w:sz w:val="24"/>
          <w:szCs w:val="24"/>
          <w:bdr w:val="none" w:color="auto" w:sz="0" w:space="0"/>
        </w:rPr>
        <w:t>信息技术与学科的融合是指将信息技术渗透到课程的目标、内容和方法中，使之成为课程的一个有机组成部分，实现对教育的内容、方法、手段和管理方式的改革。国外信息技术在教学中运用的实践证明了这种教学改革对学生的信息技术素质的培养，对主动性和合作精神的培养，对创新能力的培养，具有显著的优势和独到的功能。我国新课程中基础教育课程改革目标中强调，改变课程实施过于强调接受学习、死记硬背、机械训练的现状，倡导学生主动参与、乐于探究、勤于动手，培养学生搜集和处理信息的能力、获取新知识的能力、分析和解决问题的能力，以及交流与合作的能力。这促使更多的学者、一线教师投入到信息技术与课程整合实践中来，做了不少教学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color w:val="333333"/>
          <w:spacing w:val="0"/>
          <w:sz w:val="24"/>
          <w:szCs w:val="24"/>
          <w:bdr w:val="none" w:color="auto" w:sz="0" w:space="0"/>
        </w:rPr>
        <w:t>信息技术与课程融合并不是将信息技术与课程混合，而是要在满足硬件条件下，符合现代学习理论，充分地合理运用各种信息化教学资源，创造有利的教学情境，调动学生的学习积极性与课堂参与度，使教学过程最优化。在教学内容呈现方式上，信息技术多媒体的运用，恰当地使用视频、动画等，能够使微观的东西宏观化、复杂的生命活动形象具体、能够展现出生物的多样性；在学生学习方式的改变上，能对初中生由接受式学习向发现式学习的转变起到积极的促进作用。此外，利用各种信息技术，如微信、QQ等，可以拓展师生之间的互动方式，构建更和谐的师生关系，更有利于教学的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color w:val="333333"/>
          <w:spacing w:val="0"/>
          <w:sz w:val="24"/>
          <w:szCs w:val="24"/>
          <w:bdr w:val="none" w:color="auto" w:sz="0" w:space="0"/>
        </w:rPr>
        <w:t>同时，教学信息化对现代教师的教学能力提出了新的要求，首先教师要有先进的教学理念和终身学习的精神，教师能够在充分了解研究教材、关注学生、备好课的基础上，要发展提高自身运用信息技术的能力，要去学习、研究如何使用信息技术软件；其次，还要搜集、筛选出有效教学资源，通过合适的信息技术手段展现出来，符合初中学生的心理发展特点和认知能力需求，实现信息技术与学科教学的整合，最终达到优化教学的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b/>
          <w:bCs/>
          <w:color w:val="333333"/>
          <w:spacing w:val="0"/>
          <w:sz w:val="24"/>
          <w:szCs w:val="24"/>
          <w:bdr w:val="none" w:color="auto" w:sz="0" w:space="0"/>
        </w:rPr>
        <w:t>三、课题研究的目标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color w:val="333333"/>
          <w:spacing w:val="0"/>
          <w:sz w:val="24"/>
          <w:szCs w:val="24"/>
          <w:bdr w:val="none" w:color="auto" w:sz="0" w:space="0"/>
        </w:rPr>
        <w:t>本课题我们将研究如何结合教学实际，探索并总结利用信息技术资源，形成基于信息技术环境下的初中实验课堂教学。具体形成以下三个目标：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color w:val="333333"/>
          <w:spacing w:val="0"/>
          <w:sz w:val="24"/>
          <w:szCs w:val="24"/>
          <w:bdr w:val="none" w:color="auto" w:sz="0" w:space="0"/>
        </w:rPr>
        <w:t>1.理化生学科的实验教学中，充分利用信息技术资源，改进教学信息传递的方法和手段，有效地调动学生学习的积极性，营造自主、合作探究的学习氛围，给学生提供广阔的思维空间和时间，培养学生的创新精神和实践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color w:val="333333"/>
          <w:spacing w:val="0"/>
          <w:sz w:val="24"/>
          <w:szCs w:val="24"/>
          <w:bdr w:val="none" w:color="auto" w:sz="0" w:space="0"/>
        </w:rPr>
        <w:t>2.改革传统教学方法，探索运用信息技术于实验教学中的新策略、新模式，提高实验教学质量。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color w:val="333333"/>
          <w:spacing w:val="0"/>
          <w:sz w:val="24"/>
          <w:szCs w:val="24"/>
          <w:bdr w:val="none" w:color="auto" w:sz="0" w:space="0"/>
        </w:rPr>
        <w:t>3.加强教育科研，提高教师在实验教学中运用信息技术的水平和能力。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color w:val="333333"/>
          <w:spacing w:val="0"/>
          <w:sz w:val="24"/>
          <w:szCs w:val="24"/>
          <w:bdr w:val="none" w:color="auto" w:sz="0" w:space="0"/>
        </w:rPr>
        <w:t>4.提高实验课堂效率，努力激发学生学习兴趣、使之成为易于接受的学习内容，训练学生的创新思维，以提高课堂效率。实现多种渠道学习，使学生学会自主性学习、合作性学习、研究性学习。养成终身学习的习惯与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b/>
          <w:bCs/>
          <w:color w:val="333333"/>
          <w:spacing w:val="0"/>
          <w:sz w:val="24"/>
          <w:szCs w:val="24"/>
          <w:bdr w:val="none" w:color="auto" w:sz="0" w:space="0"/>
        </w:rPr>
        <w:t>四、课题研究的主要内容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color w:val="333333"/>
          <w:spacing w:val="0"/>
          <w:sz w:val="24"/>
          <w:szCs w:val="24"/>
          <w:bdr w:val="none" w:color="auto" w:sz="0" w:space="0"/>
        </w:rPr>
        <w:t>1.研究在现代信息技术环境下，如何通过教育科研，促进教师专业发展，充分发挥学生的主体性作用。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color w:val="333333"/>
          <w:spacing w:val="0"/>
          <w:sz w:val="24"/>
          <w:szCs w:val="24"/>
          <w:bdr w:val="none" w:color="auto" w:sz="0" w:space="0"/>
        </w:rPr>
        <w:t>2.研究信息技术环境下的教师角色转换，探索出符合中小学实际的信息技术环境下的初中实验课堂模式。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color w:val="333333"/>
          <w:spacing w:val="0"/>
          <w:sz w:val="24"/>
          <w:szCs w:val="24"/>
          <w:bdr w:val="none" w:color="auto" w:sz="0" w:space="0"/>
        </w:rPr>
        <w:t>3.研究信息技术环境下学生科学的学习习惯、学习方法、学习方式的形成，以促成学生综合素质的提高并形成重视学习的习惯。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color w:val="333333"/>
          <w:spacing w:val="0"/>
          <w:sz w:val="24"/>
          <w:szCs w:val="24"/>
          <w:bdr w:val="none" w:color="auto" w:sz="0" w:space="0"/>
        </w:rPr>
        <w:t>4.把信息技术应用到实验教学中去，充分发挥传统实验教学和现代信息技术的优势，把实验教学提高到新的层次。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b/>
          <w:bCs/>
          <w:color w:val="333333"/>
          <w:spacing w:val="0"/>
          <w:sz w:val="24"/>
          <w:szCs w:val="24"/>
          <w:bdr w:val="none" w:color="auto" w:sz="0" w:space="0"/>
        </w:rPr>
        <w:t>五、课题的研究方法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color w:val="333333"/>
          <w:spacing w:val="0"/>
          <w:sz w:val="24"/>
          <w:szCs w:val="24"/>
          <w:bdr w:val="none" w:color="auto" w:sz="0" w:space="0"/>
        </w:rPr>
        <w:t>我们以借助现代信息技术，以公开课、教研课为研究的形式，探索在多媒体辅助和网络环境下进行实验教学的新途径、新方法，使教师的教学方式、学生的学习方式发生根本的改变，从而促进实验课堂教学结构的改革。具体方法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color w:val="333333"/>
          <w:spacing w:val="0"/>
          <w:sz w:val="24"/>
          <w:szCs w:val="24"/>
          <w:bdr w:val="none" w:color="auto" w:sz="0" w:space="0"/>
        </w:rPr>
        <w:t>1．资料法。搜集、阅读、研究多媒体辅助实验教学理论和基于网络环境的实验教学理论及成功的课例，从中借鉴经验，进行积累。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color w:val="333333"/>
          <w:spacing w:val="0"/>
          <w:sz w:val="24"/>
          <w:szCs w:val="24"/>
          <w:bdr w:val="none" w:color="auto" w:sz="0" w:space="0"/>
        </w:rPr>
        <w:t>2．观摩法。组织观看多媒体辅助教学和网络环境下的实验教学示范课，从中汲取经验，进行思考和创新。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color w:val="333333"/>
          <w:spacing w:val="0"/>
          <w:sz w:val="24"/>
          <w:szCs w:val="24"/>
          <w:bdr w:val="none" w:color="auto" w:sz="0" w:space="0"/>
        </w:rPr>
        <w:t>3．对比法。以对比研究的形式，不同学科上实验教学研究课，跨学科听评课，通过对比研究，形成、改进新的教学方法。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color w:val="333333"/>
          <w:spacing w:val="0"/>
          <w:sz w:val="24"/>
          <w:szCs w:val="24"/>
          <w:bdr w:val="none" w:color="auto" w:sz="0" w:space="0"/>
        </w:rPr>
        <w:t>4．行动研究法：边实验，边总结，边研究，边改进。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color w:val="333333"/>
          <w:spacing w:val="0"/>
          <w:sz w:val="24"/>
          <w:szCs w:val="24"/>
          <w:bdr w:val="none" w:color="auto" w:sz="0" w:space="0"/>
        </w:rPr>
        <w:t>5．经验总结法：组织开展系列体验活动，对活动中的具体情况或事例进行分析概括和总结，使之系统化、理论化。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sz w:val="24"/>
          <w:szCs w:val="24"/>
        </w:rPr>
      </w:pPr>
      <w:r>
        <w:rPr>
          <w:rFonts w:hint="eastAsia" w:ascii="仿宋_GB2312" w:eastAsia="仿宋_GB2312" w:cs="仿宋_GB2312"/>
          <w:color w:val="333333"/>
          <w:spacing w:val="0"/>
          <w:sz w:val="24"/>
          <w:szCs w:val="24"/>
          <w:bdr w:val="none" w:color="auto" w:sz="0" w:space="0"/>
        </w:rPr>
        <w:t>6．教研促进法。以教研活动为途径，加强研究的时效性、针对性，在交流和评价中促进研究的深化。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rFonts w:hint="eastAsia" w:ascii="仿宋_GB2312" w:eastAsia="仿宋_GB2312" w:cs="仿宋_GB2312"/>
          <w:color w:val="333333"/>
          <w:spacing w:val="0"/>
          <w:sz w:val="24"/>
          <w:szCs w:val="24"/>
        </w:rPr>
      </w:pPr>
      <w:r>
        <w:rPr>
          <w:rFonts w:hint="eastAsia" w:ascii="仿宋_GB2312" w:eastAsia="仿宋_GB2312" w:cs="仿宋_GB2312"/>
          <w:b/>
          <w:bCs/>
          <w:color w:val="333333"/>
          <w:spacing w:val="0"/>
          <w:sz w:val="24"/>
          <w:szCs w:val="24"/>
          <w:lang w:val="en-US" w:eastAsia="zh-CN"/>
        </w:rPr>
        <w:t>六、完成课题的可行性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rFonts w:hint="eastAsia" w:ascii="仿宋_GB2312" w:eastAsia="仿宋_GB2312" w:cs="仿宋_GB2312"/>
          <w:color w:val="333333"/>
          <w:spacing w:val="0"/>
          <w:sz w:val="24"/>
          <w:szCs w:val="24"/>
        </w:rPr>
      </w:pPr>
      <w:r>
        <w:rPr>
          <w:rFonts w:hint="eastAsia" w:ascii="仿宋_GB2312" w:eastAsia="仿宋_GB2312" w:cs="仿宋_GB2312"/>
          <w:color w:val="333333"/>
          <w:spacing w:val="0"/>
          <w:sz w:val="24"/>
          <w:szCs w:val="24"/>
        </w:rPr>
        <w:t>1.学校领导重视课题研究工作，注重教学教研活动，始终以“科研兴校”作为办学方针，在业务培训、资料收集和开展活动等方面保证经费的落实。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rFonts w:hint="eastAsia" w:ascii="仿宋_GB2312" w:eastAsia="仿宋_GB2312" w:cs="仿宋_GB2312"/>
          <w:color w:val="333333"/>
          <w:spacing w:val="0"/>
          <w:sz w:val="24"/>
          <w:szCs w:val="24"/>
        </w:rPr>
      </w:pPr>
      <w:r>
        <w:rPr>
          <w:rFonts w:hint="eastAsia" w:ascii="仿宋_GB2312" w:eastAsia="仿宋_GB2312" w:cs="仿宋_GB2312"/>
          <w:color w:val="333333"/>
          <w:spacing w:val="0"/>
          <w:sz w:val="24"/>
          <w:szCs w:val="24"/>
        </w:rPr>
        <w:t>2.课题负责人是我校主管教学副校长，生物学科教学骨干，有较强的实验教学、信息技术融合教学、教育学、心理学等方面的研究专长，在高效实验课堂改革方面具有示范引领作用。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rFonts w:hint="eastAsia" w:ascii="仿宋_GB2312" w:eastAsia="仿宋_GB2312" w:cs="仿宋_GB2312"/>
          <w:color w:val="333333"/>
          <w:spacing w:val="0"/>
          <w:sz w:val="24"/>
          <w:szCs w:val="24"/>
        </w:rPr>
      </w:pPr>
      <w:r>
        <w:rPr>
          <w:rFonts w:hint="eastAsia" w:ascii="仿宋_GB2312" w:eastAsia="仿宋_GB2312" w:cs="仿宋_GB2312"/>
          <w:color w:val="333333"/>
          <w:spacing w:val="0"/>
          <w:sz w:val="24"/>
          <w:szCs w:val="24"/>
        </w:rPr>
        <w:t>3.课题组成员均为物理、化学、生物学科任教多年的市级、区级骨干教师，都具有一定的教育教学科研能力，课题负责人及主要参加者均有市区级课题研究经验，多年来致力于课堂教学研究，均取得多项课堂教学研究成果，具有丰富的教育科研经验和雄厚的理论基础，为课题研究的质量提供保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rFonts w:hint="eastAsia" w:ascii="仿宋_GB2312" w:eastAsia="仿宋_GB2312" w:cs="仿宋_GB2312"/>
          <w:color w:val="333333"/>
          <w:spacing w:val="0"/>
          <w:sz w:val="24"/>
          <w:szCs w:val="24"/>
        </w:rPr>
      </w:pPr>
      <w:r>
        <w:rPr>
          <w:rFonts w:hint="eastAsia" w:ascii="仿宋_GB2312" w:eastAsia="仿宋_GB2312" w:cs="仿宋_GB2312"/>
          <w:color w:val="333333"/>
          <w:spacing w:val="0"/>
          <w:sz w:val="24"/>
          <w:szCs w:val="24"/>
        </w:rPr>
        <w:t>4.研究条件优越。我校尤其重视教研开发建设，在教学科研上投入大量的人力、物力和精力，为课题研究提供了有利的组织保障。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rFonts w:hint="eastAsia" w:ascii="仿宋_GB2312" w:eastAsia="仿宋_GB2312" w:cs="仿宋_GB2312"/>
          <w:color w:val="333333"/>
          <w:spacing w:val="0"/>
          <w:sz w:val="24"/>
          <w:szCs w:val="24"/>
        </w:rPr>
      </w:pPr>
      <w:r>
        <w:rPr>
          <w:rFonts w:hint="eastAsia" w:ascii="仿宋_GB2312" w:eastAsia="仿宋_GB2312" w:cs="仿宋_GB2312"/>
          <w:color w:val="333333"/>
          <w:spacing w:val="0"/>
          <w:sz w:val="24"/>
          <w:szCs w:val="24"/>
        </w:rPr>
        <w:t>5.实验基础扎实。我校目前初中12个教学班，22年预计招收16个教学班，课题主要参加者现分别在七、八、九各年级任教，为课题研究提供了广泛的实验群体。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rFonts w:hint="eastAsia" w:ascii="仿宋_GB2312" w:eastAsia="仿宋_GB2312" w:cs="仿宋_GB2312"/>
          <w:color w:val="333333"/>
          <w:spacing w:val="0"/>
          <w:sz w:val="24"/>
          <w:szCs w:val="24"/>
        </w:rPr>
      </w:pPr>
      <w:r>
        <w:rPr>
          <w:rFonts w:hint="eastAsia" w:ascii="仿宋_GB2312" w:eastAsia="仿宋_GB2312" w:cs="仿宋_GB2312"/>
          <w:color w:val="333333"/>
          <w:spacing w:val="0"/>
          <w:sz w:val="24"/>
          <w:szCs w:val="24"/>
        </w:rPr>
        <w:t>6.我校为2021年新建校，理化生实验室硬件条件优越，设施设备完善，实验室多媒体环境先进，为本课题研究提供了硬件保障。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ascii="黑体" w:hAnsi="宋体" w:eastAsia="黑体" w:cs="黑体"/>
          <w:b w:val="0"/>
          <w:bCs w:val="0"/>
          <w:i w:val="0"/>
          <w:iCs w:val="0"/>
          <w:caps w:val="0"/>
          <w:color w:val="444444"/>
          <w:spacing w:val="0"/>
          <w:sz w:val="24"/>
          <w:szCs w:val="24"/>
        </w:rPr>
      </w:pPr>
      <w:r>
        <w:rPr>
          <w:rFonts w:hint="eastAsia" w:ascii="仿宋_GB2312" w:eastAsia="仿宋_GB2312" w:cs="仿宋_GB2312" w:hAnsiTheme="minorHAnsi"/>
          <w:b/>
          <w:bCs/>
          <w:color w:val="333333"/>
          <w:spacing w:val="0"/>
          <w:kern w:val="0"/>
          <w:sz w:val="24"/>
          <w:szCs w:val="24"/>
          <w:lang w:val="en-US" w:eastAsia="zh-CN" w:bidi="ar"/>
        </w:rPr>
        <w:t>七、预期研究成果</w:t>
      </w:r>
    </w:p>
    <w:tbl>
      <w:tblPr>
        <w:tblW w:w="8259" w:type="dxa"/>
        <w:tblInd w:w="0"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259"/>
      </w:tblGrid>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59" w:type="dxa"/>
            <w:shd w:val="clear" w:color="auto" w:fill="FFFFFF"/>
            <w:vAlign w:val="center"/>
          </w:tcPr>
          <w:tbl>
            <w:tblPr>
              <w:tblW w:w="971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bdr w:val="none" w:color="auto" w:sz="0" w:space="0"/>
                      <w:lang w:val="en-US" w:eastAsia="zh-CN" w:bidi="ar"/>
                    </w:rPr>
                    <w:t>主要阶段性成果（限报10项）</w:t>
                  </w:r>
                </w:p>
              </w:tc>
            </w:tr>
          </w:tbl>
          <w:p>
            <w:pPr>
              <w:wordWrap w:val="0"/>
              <w:spacing w:before="0" w:beforeAutospacing="0" w:after="0" w:afterAutospacing="0" w:line="360" w:lineRule="auto"/>
              <w:ind w:left="0" w:right="0"/>
              <w:jc w:val="center"/>
              <w:rPr>
                <w:rFonts w:hint="eastAsia" w:ascii="宋体" w:hAnsi="宋体" w:eastAsia="宋体" w:cs="宋体"/>
                <w:i w:val="0"/>
                <w:iCs w:val="0"/>
                <w:caps w:val="0"/>
                <w:color w:val="444444"/>
                <w:spacing w:val="0"/>
                <w:sz w:val="24"/>
                <w:szCs w:val="24"/>
              </w:rPr>
            </w:pP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59" w:type="dxa"/>
            <w:shd w:val="clear" w:color="auto" w:fill="FFFFFF"/>
            <w:vAlign w:val="center"/>
          </w:tcPr>
          <w:tbl>
            <w:tblPr>
              <w:tblW w:w="8338"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465"/>
              <w:gridCol w:w="3288"/>
              <w:gridCol w:w="1644"/>
              <w:gridCol w:w="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78" w:hRule="atLeast"/>
              </w:trPr>
              <w:tc>
                <w:tcPr>
                  <w:tcW w:w="1478"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bdr w:val="none" w:color="auto" w:sz="0" w:space="0"/>
                      <w:lang w:val="en-US" w:eastAsia="zh-CN" w:bidi="ar"/>
                    </w:rPr>
                    <w:t>研究阶段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（起止时间）</w:t>
                  </w:r>
                </w:p>
              </w:tc>
              <w:tc>
                <w:tcPr>
                  <w:tcW w:w="1971"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bdr w:val="none" w:color="auto" w:sz="0" w:space="0"/>
                      <w:lang w:val="en-US" w:eastAsia="zh-CN" w:bidi="ar"/>
                    </w:rPr>
                    <w:t>阶段成果名称</w:t>
                  </w:r>
                </w:p>
              </w:tc>
              <w:tc>
                <w:tcPr>
                  <w:tcW w:w="985"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bdr w:val="none" w:color="auto" w:sz="0" w:space="0"/>
                      <w:lang w:val="en-US" w:eastAsia="zh-CN" w:bidi="ar"/>
                    </w:rPr>
                    <w:t>成果形式</w:t>
                  </w:r>
                </w:p>
              </w:tc>
              <w:tc>
                <w:tcPr>
                  <w:tcW w:w="564"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bdr w:val="none" w:color="auto" w:sz="0" w:space="0"/>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9" w:hRule="atLeast"/>
              </w:trPr>
              <w:tc>
                <w:tcPr>
                  <w:tcW w:w="1478"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18"/>
                      <w:szCs w:val="18"/>
                      <w:bdr w:val="none" w:color="auto" w:sz="0" w:space="0"/>
                      <w:lang w:val="en-US" w:eastAsia="zh-CN" w:bidi="ar"/>
                    </w:rPr>
                    <w:t>2023-04-20 至 2023-05-20</w:t>
                  </w:r>
                </w:p>
              </w:tc>
              <w:tc>
                <w:tcPr>
                  <w:tcW w:w="1971"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bdr w:val="none" w:color="auto" w:sz="0" w:space="0"/>
                      <w:lang w:val="en-US" w:eastAsia="zh-CN" w:bidi="ar"/>
                    </w:rPr>
                    <w:t>阶段性研究成果</w:t>
                  </w:r>
                </w:p>
              </w:tc>
              <w:tc>
                <w:tcPr>
                  <w:tcW w:w="985"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bdr w:val="none" w:color="auto" w:sz="0" w:space="0"/>
                      <w:lang w:val="en-US" w:eastAsia="zh-CN" w:bidi="ar"/>
                    </w:rPr>
                    <w:t>研究报告</w:t>
                  </w:r>
                </w:p>
              </w:tc>
              <w:tc>
                <w:tcPr>
                  <w:tcW w:w="564"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bdr w:val="none" w:color="auto" w:sz="0" w:space="0"/>
                      <w:lang w:val="en-US" w:eastAsia="zh-CN" w:bidi="ar"/>
                    </w:rPr>
                    <w:t>王颖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9" w:hRule="atLeast"/>
              </w:trPr>
              <w:tc>
                <w:tcPr>
                  <w:tcW w:w="1478"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rFonts w:ascii="宋体" w:hAnsi="宋体" w:eastAsia="宋体" w:cs="宋体"/>
                      <w:kern w:val="0"/>
                      <w:sz w:val="18"/>
                      <w:szCs w:val="18"/>
                      <w:lang w:val="en-US" w:eastAsia="zh-CN" w:bidi="ar"/>
                    </w:rPr>
                  </w:pPr>
                  <w:r>
                    <w:rPr>
                      <w:rFonts w:ascii="宋体" w:hAnsi="宋体" w:eastAsia="宋体" w:cs="宋体"/>
                      <w:kern w:val="0"/>
                      <w:sz w:val="18"/>
                      <w:szCs w:val="18"/>
                      <w:lang w:val="en-US" w:eastAsia="zh-CN" w:bidi="ar"/>
                    </w:rPr>
                    <w:t>2023-01-09 至 2023-04-30</w:t>
                  </w:r>
                </w:p>
              </w:tc>
              <w:tc>
                <w:tcPr>
                  <w:tcW w:w="1971"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bdr w:val="none" w:color="auto" w:sz="0" w:space="0"/>
                      <w:lang w:val="en-US" w:eastAsia="zh-CN" w:bidi="ar"/>
                    </w:rPr>
                    <w:t>教学案例、教学反思、随笔等</w:t>
                  </w:r>
                </w:p>
              </w:tc>
              <w:tc>
                <w:tcPr>
                  <w:tcW w:w="985"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bdr w:val="none" w:color="auto" w:sz="0" w:space="0"/>
                      <w:lang w:val="en-US" w:eastAsia="zh-CN" w:bidi="ar"/>
                    </w:rPr>
                    <w:t>论文集</w:t>
                  </w:r>
                </w:p>
              </w:tc>
              <w:tc>
                <w:tcPr>
                  <w:tcW w:w="564"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bdr w:val="none" w:color="auto" w:sz="0" w:space="0"/>
                      <w:lang w:val="en-US" w:eastAsia="zh-CN" w:bidi="ar"/>
                    </w:rPr>
                    <w:t>王颖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1478"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rFonts w:ascii="宋体" w:hAnsi="宋体" w:eastAsia="宋体" w:cs="宋体"/>
                      <w:kern w:val="0"/>
                      <w:sz w:val="18"/>
                      <w:szCs w:val="18"/>
                      <w:lang w:val="en-US" w:eastAsia="zh-CN" w:bidi="ar"/>
                    </w:rPr>
                  </w:pPr>
                  <w:r>
                    <w:rPr>
                      <w:rFonts w:ascii="宋体" w:hAnsi="宋体" w:eastAsia="宋体" w:cs="宋体"/>
                      <w:kern w:val="0"/>
                      <w:sz w:val="18"/>
                      <w:szCs w:val="18"/>
                      <w:lang w:val="en-US" w:eastAsia="zh-CN" w:bidi="ar"/>
                    </w:rPr>
                    <w:t>2022-05-09 至 2022-12-30</w:t>
                  </w:r>
                </w:p>
              </w:tc>
              <w:tc>
                <w:tcPr>
                  <w:tcW w:w="1971"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bdr w:val="none" w:color="auto" w:sz="0" w:space="0"/>
                      <w:lang w:val="en-US" w:eastAsia="zh-CN" w:bidi="ar"/>
                    </w:rPr>
                    <w:t>各种调查、讲座报告</w:t>
                  </w:r>
                </w:p>
              </w:tc>
              <w:tc>
                <w:tcPr>
                  <w:tcW w:w="985"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bdr w:val="none" w:color="auto" w:sz="0" w:space="0"/>
                      <w:lang w:val="en-US" w:eastAsia="zh-CN" w:bidi="ar"/>
                    </w:rPr>
                    <w:t>研究报告</w:t>
                  </w:r>
                </w:p>
              </w:tc>
              <w:tc>
                <w:tcPr>
                  <w:tcW w:w="564"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bdr w:val="none" w:color="auto" w:sz="0" w:space="0"/>
                      <w:lang w:val="en-US" w:eastAsia="zh-CN" w:bidi="ar"/>
                    </w:rPr>
                    <w:t>王颖</w:t>
                  </w:r>
                </w:p>
              </w:tc>
            </w:tr>
          </w:tbl>
          <w:p>
            <w:pPr>
              <w:wordWrap w:val="0"/>
              <w:spacing w:before="0" w:beforeAutospacing="0" w:after="0" w:afterAutospacing="0" w:line="360" w:lineRule="auto"/>
              <w:ind w:left="0" w:right="0"/>
              <w:jc w:val="center"/>
              <w:rPr>
                <w:rFonts w:hint="eastAsia" w:ascii="宋体" w:hAnsi="宋体" w:eastAsia="宋体" w:cs="宋体"/>
                <w:i w:val="0"/>
                <w:iCs w:val="0"/>
                <w:caps w:val="0"/>
                <w:color w:val="444444"/>
                <w:spacing w:val="0"/>
                <w:sz w:val="24"/>
                <w:szCs w:val="24"/>
              </w:rPr>
            </w:pP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c>
          <w:tcPr>
            <w:tcW w:w="8259" w:type="dxa"/>
            <w:shd w:val="clear" w:color="auto" w:fill="FFFFFF"/>
            <w:vAlign w:val="center"/>
          </w:tcPr>
          <w:tbl>
            <w:tblPr>
              <w:tblW w:w="971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bdr w:val="none" w:color="auto" w:sz="0" w:space="0"/>
                      <w:lang w:val="en-US" w:eastAsia="zh-CN" w:bidi="ar"/>
                    </w:rPr>
                    <w:t>最终研究成果（限报3项）</w:t>
                  </w:r>
                </w:p>
              </w:tc>
            </w:tr>
          </w:tbl>
          <w:p>
            <w:pPr>
              <w:wordWrap w:val="0"/>
              <w:spacing w:before="0" w:beforeAutospacing="0" w:after="0" w:afterAutospacing="0" w:line="360" w:lineRule="auto"/>
              <w:ind w:left="0" w:right="0"/>
              <w:jc w:val="center"/>
              <w:rPr>
                <w:rFonts w:hint="eastAsia" w:ascii="宋体" w:hAnsi="宋体" w:eastAsia="宋体" w:cs="宋体"/>
                <w:i w:val="0"/>
                <w:iCs w:val="0"/>
                <w:caps w:val="0"/>
                <w:color w:val="444444"/>
                <w:spacing w:val="0"/>
                <w:sz w:val="24"/>
                <w:szCs w:val="24"/>
              </w:rPr>
            </w:pP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c>
          <w:tcPr>
            <w:tcW w:w="8259" w:type="dxa"/>
            <w:shd w:val="clear" w:color="auto" w:fill="FFFFFF"/>
            <w:vAlign w:val="center"/>
          </w:tcPr>
          <w:tbl>
            <w:tblPr>
              <w:tblW w:w="8239"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471"/>
              <w:gridCol w:w="3296"/>
              <w:gridCol w:w="1549"/>
              <w:gridCol w:w="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8" w:hRule="atLeast"/>
              </w:trPr>
              <w:tc>
                <w:tcPr>
                  <w:tcW w:w="1499"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bdr w:val="none" w:color="auto" w:sz="0" w:space="0"/>
                      <w:lang w:val="en-US" w:eastAsia="zh-CN" w:bidi="ar"/>
                    </w:rPr>
                    <w:t>完成时间</w:t>
                  </w:r>
                </w:p>
              </w:tc>
              <w:tc>
                <w:tcPr>
                  <w:tcW w:w="2000"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bdr w:val="none" w:color="auto" w:sz="0" w:space="0"/>
                      <w:lang w:val="en-US" w:eastAsia="zh-CN" w:bidi="ar"/>
                    </w:rPr>
                    <w:t>最终成果名称</w:t>
                  </w:r>
                </w:p>
              </w:tc>
              <w:tc>
                <w:tcPr>
                  <w:tcW w:w="940"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bdr w:val="none" w:color="auto" w:sz="0" w:space="0"/>
                      <w:lang w:val="en-US" w:eastAsia="zh-CN" w:bidi="ar"/>
                    </w:rPr>
                    <w:t>成果形式</w:t>
                  </w:r>
                </w:p>
              </w:tc>
              <w:tc>
                <w:tcPr>
                  <w:tcW w:w="560"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bdr w:val="none" w:color="auto" w:sz="0" w:space="0"/>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1499"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rFonts w:ascii="宋体" w:hAnsi="宋体" w:eastAsia="宋体" w:cs="宋体"/>
                      <w:kern w:val="0"/>
                      <w:sz w:val="18"/>
                      <w:szCs w:val="18"/>
                      <w:lang w:val="en-US" w:eastAsia="zh-CN" w:bidi="ar"/>
                    </w:rPr>
                  </w:pPr>
                  <w:r>
                    <w:rPr>
                      <w:rFonts w:ascii="宋体" w:hAnsi="宋体" w:eastAsia="宋体" w:cs="宋体"/>
                      <w:kern w:val="0"/>
                      <w:sz w:val="18"/>
                      <w:szCs w:val="18"/>
                      <w:lang w:val="en-US" w:eastAsia="zh-CN" w:bidi="ar"/>
                    </w:rPr>
                    <w:t>2023-12-18 至 2024-04-01</w:t>
                  </w:r>
                </w:p>
              </w:tc>
              <w:tc>
                <w:tcPr>
                  <w:tcW w:w="2000"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bdr w:val="none" w:color="auto" w:sz="0" w:space="0"/>
                      <w:lang w:val="en-US" w:eastAsia="zh-CN" w:bidi="ar"/>
                    </w:rPr>
                    <w:t>结题报告</w:t>
                  </w:r>
                </w:p>
              </w:tc>
              <w:tc>
                <w:tcPr>
                  <w:tcW w:w="940"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bdr w:val="none" w:color="auto" w:sz="0" w:space="0"/>
                      <w:lang w:val="en-US" w:eastAsia="zh-CN" w:bidi="ar"/>
                    </w:rPr>
                    <w:t>研究报告</w:t>
                  </w:r>
                </w:p>
              </w:tc>
              <w:tc>
                <w:tcPr>
                  <w:tcW w:w="560"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bdr w:val="none" w:color="auto" w:sz="0" w:space="0"/>
                      <w:lang w:val="en-US" w:eastAsia="zh-CN" w:bidi="ar"/>
                    </w:rPr>
                    <w:t>王颖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1499"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rFonts w:ascii="宋体" w:hAnsi="宋体" w:eastAsia="宋体" w:cs="宋体"/>
                      <w:kern w:val="0"/>
                      <w:sz w:val="18"/>
                      <w:szCs w:val="18"/>
                      <w:lang w:val="en-US" w:eastAsia="zh-CN" w:bidi="ar"/>
                    </w:rPr>
                  </w:pPr>
                  <w:r>
                    <w:rPr>
                      <w:rFonts w:ascii="宋体" w:hAnsi="宋体" w:eastAsia="宋体" w:cs="宋体"/>
                      <w:kern w:val="0"/>
                      <w:sz w:val="18"/>
                      <w:szCs w:val="18"/>
                      <w:lang w:val="en-US" w:eastAsia="zh-CN" w:bidi="ar"/>
                    </w:rPr>
                    <w:t>2023-01-16 至 2023-12-30</w:t>
                  </w:r>
                </w:p>
              </w:tc>
              <w:tc>
                <w:tcPr>
                  <w:tcW w:w="2000"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bdr w:val="none" w:color="auto" w:sz="0" w:space="0"/>
                      <w:lang w:val="en-US" w:eastAsia="zh-CN" w:bidi="ar"/>
                    </w:rPr>
                    <w:t>论文集</w:t>
                  </w:r>
                </w:p>
              </w:tc>
              <w:tc>
                <w:tcPr>
                  <w:tcW w:w="940"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bdr w:val="none" w:color="auto" w:sz="0" w:space="0"/>
                      <w:lang w:val="en-US" w:eastAsia="zh-CN" w:bidi="ar"/>
                    </w:rPr>
                    <w:t>论文集</w:t>
                  </w:r>
                </w:p>
              </w:tc>
              <w:tc>
                <w:tcPr>
                  <w:tcW w:w="560"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bdr w:val="none" w:color="auto" w:sz="0" w:space="0"/>
                      <w:lang w:val="en-US" w:eastAsia="zh-CN" w:bidi="ar"/>
                    </w:rPr>
                    <w:t>王颖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1499"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rFonts w:ascii="宋体" w:hAnsi="宋体" w:eastAsia="宋体" w:cs="宋体"/>
                      <w:kern w:val="0"/>
                      <w:sz w:val="18"/>
                      <w:szCs w:val="18"/>
                      <w:lang w:val="en-US" w:eastAsia="zh-CN" w:bidi="ar"/>
                    </w:rPr>
                  </w:pPr>
                  <w:r>
                    <w:rPr>
                      <w:rFonts w:ascii="宋体" w:hAnsi="宋体" w:eastAsia="宋体" w:cs="宋体"/>
                      <w:kern w:val="0"/>
                      <w:sz w:val="18"/>
                      <w:szCs w:val="18"/>
                      <w:lang w:val="en-US" w:eastAsia="zh-CN" w:bidi="ar"/>
                    </w:rPr>
                    <w:t>2023-01-16 至 2023-12-30</w:t>
                  </w:r>
                </w:p>
              </w:tc>
              <w:tc>
                <w:tcPr>
                  <w:tcW w:w="2000"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bdr w:val="none" w:color="auto" w:sz="0" w:space="0"/>
                      <w:lang w:val="en-US" w:eastAsia="zh-CN" w:bidi="ar"/>
                    </w:rPr>
                    <w:t>案例集</w:t>
                  </w:r>
                </w:p>
              </w:tc>
              <w:tc>
                <w:tcPr>
                  <w:tcW w:w="940"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bdr w:val="none" w:color="auto" w:sz="0" w:space="0"/>
                      <w:lang w:val="en-US" w:eastAsia="zh-CN" w:bidi="ar"/>
                    </w:rPr>
                    <w:t>其他</w:t>
                  </w:r>
                </w:p>
              </w:tc>
              <w:tc>
                <w:tcPr>
                  <w:tcW w:w="560" w:type="pct"/>
                  <w:tcBorders>
                    <w:top w:val="single" w:color="000000" w:sz="4" w:space="0"/>
                    <w:left w:val="single" w:color="000000" w:sz="4" w:space="0"/>
                    <w:bottom w:val="nil"/>
                    <w:right w:val="single" w:color="000000" w:sz="4" w:space="0"/>
                  </w:tcBorders>
                  <w:shd w:val="clear"/>
                  <w:tcMar>
                    <w:top w:w="78" w:type="dxa"/>
                    <w:left w:w="78" w:type="dxa"/>
                    <w:bottom w:w="78" w:type="dxa"/>
                    <w:right w:w="78" w:type="dxa"/>
                  </w:tcMar>
                  <w:vAlign w:val="center"/>
                </w:tcPr>
                <w:p>
                  <w:pPr>
                    <w:keepNext w:val="0"/>
                    <w:keepLines w:val="0"/>
                    <w:widowControl/>
                    <w:suppressLineNumbers w:val="0"/>
                    <w:wordWrap w:val="0"/>
                    <w:spacing w:before="0" w:beforeAutospacing="0" w:after="0" w:afterAutospacing="0" w:line="360" w:lineRule="auto"/>
                    <w:ind w:left="0" w:right="0"/>
                    <w:jc w:val="center"/>
                    <w:rPr>
                      <w:sz w:val="24"/>
                      <w:szCs w:val="24"/>
                    </w:rPr>
                  </w:pPr>
                  <w:r>
                    <w:rPr>
                      <w:rFonts w:ascii="宋体" w:hAnsi="宋体" w:eastAsia="宋体" w:cs="宋体"/>
                      <w:kern w:val="0"/>
                      <w:sz w:val="24"/>
                      <w:szCs w:val="24"/>
                      <w:bdr w:val="none" w:color="auto" w:sz="0" w:space="0"/>
                      <w:lang w:val="en-US" w:eastAsia="zh-CN" w:bidi="ar"/>
                    </w:rPr>
                    <w:t>王颖</w:t>
                  </w:r>
                </w:p>
              </w:tc>
            </w:tr>
          </w:tbl>
          <w:p>
            <w:pPr>
              <w:wordWrap w:val="0"/>
              <w:spacing w:before="0" w:beforeAutospacing="0" w:after="0" w:afterAutospacing="0" w:line="360" w:lineRule="auto"/>
              <w:ind w:left="0" w:right="0"/>
              <w:jc w:val="center"/>
              <w:rPr>
                <w:rFonts w:hint="eastAsia" w:ascii="宋体" w:hAnsi="宋体" w:eastAsia="宋体" w:cs="宋体"/>
                <w:i w:val="0"/>
                <w:iCs w:val="0"/>
                <w:caps w:val="0"/>
                <w:color w:val="444444"/>
                <w:spacing w:val="0"/>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rFonts w:hint="eastAsia" w:ascii="仿宋_GB2312" w:eastAsia="仿宋_GB2312" w:cs="仿宋_GB2312"/>
          <w:b/>
          <w:bCs/>
          <w:color w:val="333333"/>
          <w:spacing w:val="0"/>
          <w:sz w:val="24"/>
          <w:szCs w:val="24"/>
          <w:lang w:val="en-US" w:eastAsia="zh-CN"/>
        </w:rPr>
      </w:pPr>
      <w:r>
        <w:rPr>
          <w:rFonts w:hint="eastAsia" w:ascii="仿宋_GB2312" w:eastAsia="仿宋_GB2312" w:cs="仿宋_GB2312"/>
          <w:b/>
          <w:bCs/>
          <w:color w:val="333333"/>
          <w:spacing w:val="0"/>
          <w:sz w:val="24"/>
          <w:szCs w:val="24"/>
          <w:lang w:val="en-US" w:eastAsia="zh-CN"/>
        </w:rPr>
        <w:t>八、主要参考文献</w:t>
      </w:r>
    </w:p>
    <w:p>
      <w:pPr>
        <w:spacing w:line="360" w:lineRule="auto"/>
        <w:jc w:val="left"/>
        <w:rPr>
          <w:rFonts w:ascii="宋体" w:cs="宋体"/>
          <w:spacing w:val="7"/>
          <w:kern w:val="0"/>
          <w:sz w:val="24"/>
        </w:rPr>
      </w:pPr>
      <w:r>
        <w:rPr>
          <w:rFonts w:hint="eastAsia" w:ascii="宋体" w:cs="宋体"/>
          <w:spacing w:val="7"/>
          <w:kern w:val="0"/>
          <w:sz w:val="24"/>
        </w:rPr>
        <w:t>1. 李艺.信息技术课程：设计与建设.北京：高等教育出版社，2003</w:t>
      </w:r>
      <w:bookmarkStart w:id="0" w:name="_GoBack"/>
      <w:bookmarkEnd w:id="0"/>
      <w:r>
        <w:rPr>
          <w:rFonts w:hint="eastAsia" w:ascii="宋体" w:cs="宋体"/>
          <w:spacing w:val="7"/>
          <w:kern w:val="0"/>
          <w:sz w:val="24"/>
        </w:rPr>
        <w:br w:type="textWrapping"/>
      </w:r>
      <w:r>
        <w:rPr>
          <w:rFonts w:ascii="宋体" w:cs="宋体"/>
          <w:spacing w:val="7"/>
          <w:kern w:val="0"/>
          <w:sz w:val="24"/>
        </w:rPr>
        <w:t>2</w:t>
      </w:r>
      <w:r>
        <w:rPr>
          <w:rFonts w:hint="eastAsia" w:ascii="宋体" w:cs="宋体"/>
          <w:spacing w:val="7"/>
          <w:kern w:val="0"/>
          <w:sz w:val="24"/>
        </w:rPr>
        <w:t>. 朱慕菊.走进新课程——与课程实施者对话.北京：北京师范大学出版社，2002</w:t>
      </w:r>
      <w:r>
        <w:rPr>
          <w:rFonts w:hint="eastAsia" w:ascii="宋体" w:cs="宋体"/>
          <w:spacing w:val="7"/>
          <w:kern w:val="0"/>
          <w:sz w:val="24"/>
        </w:rPr>
        <w:br w:type="textWrapping"/>
      </w:r>
      <w:r>
        <w:rPr>
          <w:rFonts w:ascii="宋体" w:cs="宋体"/>
          <w:spacing w:val="7"/>
          <w:kern w:val="0"/>
          <w:sz w:val="24"/>
        </w:rPr>
        <w:t>3</w:t>
      </w:r>
      <w:r>
        <w:rPr>
          <w:rFonts w:hint="eastAsia" w:ascii="宋体" w:cs="宋体"/>
          <w:spacing w:val="7"/>
          <w:kern w:val="0"/>
          <w:sz w:val="24"/>
        </w:rPr>
        <w:t>. 祝智庭.信息教育展望.上海：华东师范大学出版社，2001</w:t>
      </w:r>
      <w:r>
        <w:rPr>
          <w:rFonts w:hint="eastAsia" w:ascii="宋体" w:cs="宋体"/>
          <w:spacing w:val="7"/>
          <w:kern w:val="0"/>
          <w:sz w:val="24"/>
        </w:rPr>
        <w:br w:type="textWrapping"/>
      </w:r>
      <w:r>
        <w:rPr>
          <w:rFonts w:ascii="宋体" w:cs="宋体"/>
          <w:spacing w:val="7"/>
          <w:kern w:val="0"/>
          <w:sz w:val="24"/>
        </w:rPr>
        <w:t>4</w:t>
      </w:r>
      <w:r>
        <w:rPr>
          <w:rFonts w:hint="eastAsia" w:ascii="宋体" w:cs="宋体"/>
          <w:spacing w:val="7"/>
          <w:kern w:val="0"/>
          <w:sz w:val="24"/>
        </w:rPr>
        <w:t>. 王吉庆.信息技术课程与教学论.杭州：浙江教育出版社,2003</w:t>
      </w:r>
      <w:r>
        <w:rPr>
          <w:rFonts w:hint="eastAsia" w:ascii="宋体" w:cs="宋体"/>
          <w:spacing w:val="7"/>
          <w:kern w:val="0"/>
          <w:sz w:val="24"/>
        </w:rPr>
        <w:br w:type="textWrapping"/>
      </w:r>
      <w:r>
        <w:rPr>
          <w:rFonts w:ascii="宋体" w:cs="宋体"/>
          <w:spacing w:val="7"/>
          <w:kern w:val="0"/>
          <w:sz w:val="24"/>
        </w:rPr>
        <w:t>5</w:t>
      </w:r>
      <w:r>
        <w:rPr>
          <w:rFonts w:hint="eastAsia" w:ascii="宋体" w:cs="宋体"/>
          <w:spacing w:val="7"/>
          <w:kern w:val="0"/>
          <w:sz w:val="24"/>
        </w:rPr>
        <w:t>. 李艺,李冬梅.信息技术教学方法：继承与创新.北京：高等教育出版社,2003</w:t>
      </w:r>
      <w:r>
        <w:rPr>
          <w:rFonts w:hint="eastAsia" w:ascii="宋体" w:cs="宋体"/>
          <w:spacing w:val="7"/>
          <w:kern w:val="0"/>
          <w:sz w:val="24"/>
        </w:rPr>
        <w:br w:type="textWrapping"/>
      </w:r>
      <w:r>
        <w:rPr>
          <w:rFonts w:ascii="宋体" w:cs="宋体"/>
          <w:spacing w:val="7"/>
          <w:kern w:val="0"/>
          <w:sz w:val="24"/>
        </w:rPr>
        <w:t>6</w:t>
      </w:r>
      <w:r>
        <w:rPr>
          <w:rFonts w:hint="eastAsia" w:ascii="宋体" w:cs="宋体"/>
          <w:spacing w:val="7"/>
          <w:kern w:val="0"/>
          <w:sz w:val="24"/>
        </w:rPr>
        <w:t>. 皮连生.学与教的心理学.上海：华东师范大学出版社，1997</w:t>
      </w:r>
      <w:r>
        <w:rPr>
          <w:rFonts w:hint="eastAsia" w:ascii="宋体" w:cs="宋体"/>
          <w:spacing w:val="7"/>
          <w:kern w:val="0"/>
          <w:sz w:val="24"/>
        </w:rPr>
        <w:br w:type="textWrapping"/>
      </w:r>
      <w:r>
        <w:rPr>
          <w:rFonts w:ascii="宋体" w:cs="宋体"/>
          <w:spacing w:val="7"/>
          <w:kern w:val="0"/>
          <w:sz w:val="24"/>
        </w:rPr>
        <w:t>7</w:t>
      </w:r>
      <w:r>
        <w:rPr>
          <w:rFonts w:hint="eastAsia" w:ascii="宋体" w:cs="宋体"/>
          <w:spacing w:val="7"/>
          <w:kern w:val="0"/>
          <w:sz w:val="24"/>
        </w:rPr>
        <w:t>. 李节，古力等.信息技术教育风雨20年.中小学信息技术教育，2003(1-2)</w:t>
      </w:r>
      <w:r>
        <w:rPr>
          <w:rFonts w:hint="eastAsia" w:ascii="宋体" w:cs="宋体"/>
          <w:spacing w:val="7"/>
          <w:kern w:val="0"/>
          <w:sz w:val="24"/>
        </w:rPr>
        <w:br w:type="textWrapping"/>
      </w:r>
      <w:r>
        <w:rPr>
          <w:rFonts w:ascii="宋体" w:cs="宋体"/>
          <w:spacing w:val="7"/>
          <w:kern w:val="0"/>
          <w:sz w:val="24"/>
        </w:rPr>
        <w:t>8</w:t>
      </w:r>
      <w:r>
        <w:rPr>
          <w:rFonts w:hint="eastAsia" w:ascii="宋体" w:cs="宋体"/>
          <w:spacing w:val="7"/>
          <w:kern w:val="0"/>
          <w:sz w:val="24"/>
        </w:rPr>
        <w:t>. 董玉琦，姜兴志.日本中小学信息教育的现状与课题.中国电化教育，1999（1）</w:t>
      </w:r>
      <w:r>
        <w:rPr>
          <w:rFonts w:hint="eastAsia" w:ascii="宋体" w:cs="宋体"/>
          <w:spacing w:val="7"/>
          <w:kern w:val="0"/>
          <w:sz w:val="24"/>
        </w:rPr>
        <w:br w:type="textWrapping"/>
      </w:r>
      <w:r>
        <w:rPr>
          <w:rFonts w:ascii="宋体" w:cs="宋体"/>
          <w:spacing w:val="7"/>
          <w:kern w:val="0"/>
          <w:sz w:val="24"/>
        </w:rPr>
        <w:t>9</w:t>
      </w:r>
      <w:r>
        <w:rPr>
          <w:rFonts w:hint="eastAsia" w:ascii="宋体" w:cs="宋体"/>
          <w:spacing w:val="7"/>
          <w:kern w:val="0"/>
          <w:sz w:val="24"/>
        </w:rPr>
        <w:t>. 黄甫全.信息技术与课程整合的基本策略.电化教育研究,2002(7)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54"/>
        <w:rPr>
          <w:rFonts w:hint="eastAsia" w:ascii="仿宋_GB2312" w:eastAsia="仿宋_GB2312" w:cs="仿宋_GB2312"/>
          <w:color w:val="333333"/>
          <w:spacing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NDdmNGRhMmUyMzBiY2Y3Mzk4ZmQ2NjFhM2I4ODcifQ=="/>
  </w:docVars>
  <w:rsids>
    <w:rsidRoot w:val="2F2C1961"/>
    <w:rsid w:val="2F2C1961"/>
    <w:rsid w:val="347E631A"/>
    <w:rsid w:val="751546B9"/>
    <w:rsid w:val="7ACB3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1872</Words>
  <Characters>1886</Characters>
  <Lines>0</Lines>
  <Paragraphs>0</Paragraphs>
  <TotalTime>1</TotalTime>
  <ScaleCrop>false</ScaleCrop>
  <LinksUpToDate>false</LinksUpToDate>
  <CharactersWithSpaces>1887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2022-05-07T03:17:00Z</dcterms:created>
  <dc:creator>拉拉圈</dc:creator>
  <cp:lastModifiedBy>拉拉圈</cp:lastModifiedBy>
  <dcterms:modified xsi:type="dcterms:W3CDTF">2023-06-27T08:27:39Z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0A657C6A881D45BE9C220FB42A4B76C0_13</vt:lpwstr>
  </property>
</Properties>
</file>