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927" w:tblpY="2069"/>
        <w:tblOverlap w:val="never"/>
        <w:tblW w:w="10540" w:type="dxa"/>
        <w:tblInd w:w="0" w:type="dxa"/>
        <w:shd w:val="clear" w:color="auto" w:fill="FFFFFF"/>
        <w:tblLayout w:type="fixed"/>
        <w:tblCellMar>
          <w:top w:w="15" w:type="dxa"/>
          <w:left w:w="15" w:type="dxa"/>
          <w:bottom w:w="15" w:type="dxa"/>
          <w:right w:w="15" w:type="dxa"/>
        </w:tblCellMar>
      </w:tblPr>
      <w:tblGrid>
        <w:gridCol w:w="10540"/>
      </w:tblGrid>
      <w:tr>
        <w:tblPrEx>
          <w:shd w:val="clear" w:color="auto" w:fill="FFFFFF"/>
          <w:tblLayout w:type="fixed"/>
          <w:tblCellMar>
            <w:top w:w="15" w:type="dxa"/>
            <w:left w:w="15" w:type="dxa"/>
            <w:bottom w:w="15" w:type="dxa"/>
            <w:right w:w="15" w:type="dxa"/>
          </w:tblCellMar>
        </w:tblPrEx>
        <w:trPr>
          <w:trHeight w:val="8603" w:hRule="atLeast"/>
        </w:trPr>
        <w:tc>
          <w:tcPr>
            <w:tcW w:w="10540" w:type="dxa"/>
            <w:shd w:val="clear" w:color="auto" w:fill="FFFFFF"/>
            <w:tcMar>
              <w:top w:w="0" w:type="dxa"/>
              <w:left w:w="108" w:type="dxa"/>
              <w:bottom w:w="0" w:type="dxa"/>
              <w:right w:w="108" w:type="dxa"/>
            </w:tcMar>
          </w:tcPr>
          <w:p>
            <w:pPr>
              <w:widowControl/>
              <w:shd w:val="clear" w:color="auto" w:fill="FFFFFF"/>
              <w:jc w:val="center"/>
              <w:outlineLvl w:val="1"/>
              <w:rPr>
                <w:rFonts w:hint="eastAsia" w:ascii="宋体" w:hAnsi="宋体" w:eastAsia="宋体" w:cs="宋体"/>
                <w:b/>
                <w:bCs/>
                <w:color w:val="444444"/>
                <w:kern w:val="0"/>
                <w:sz w:val="52"/>
                <w:szCs w:val="52"/>
              </w:rPr>
            </w:pPr>
            <w:r>
              <w:rPr>
                <w:rFonts w:hint="eastAsia" w:ascii="宋体" w:hAnsi="宋体" w:eastAsia="宋体" w:cs="宋体"/>
                <w:b/>
                <w:bCs/>
                <w:color w:val="444444"/>
                <w:kern w:val="0"/>
                <w:sz w:val="52"/>
                <w:szCs w:val="52"/>
              </w:rPr>
              <w:t>东丽区“十三五”教育信息技术研究课题</w:t>
            </w:r>
          </w:p>
          <w:p>
            <w:pPr>
              <w:widowControl/>
              <w:shd w:val="clear" w:color="auto" w:fill="FFFFFF"/>
              <w:jc w:val="center"/>
              <w:outlineLvl w:val="1"/>
              <w:rPr>
                <w:rFonts w:hint="eastAsia" w:ascii="宋体" w:hAnsi="宋体" w:eastAsia="宋体" w:cs="宋体"/>
                <w:b/>
                <w:bCs/>
                <w:color w:val="444444"/>
                <w:kern w:val="0"/>
                <w:sz w:val="52"/>
                <w:szCs w:val="52"/>
              </w:rPr>
            </w:pPr>
            <w:r>
              <w:rPr>
                <w:rFonts w:hint="eastAsia" w:ascii="宋体" w:hAnsi="宋体" w:eastAsia="宋体" w:cs="宋体"/>
                <w:b/>
                <w:bCs/>
                <w:color w:val="444444"/>
                <w:kern w:val="0"/>
                <w:sz w:val="52"/>
                <w:szCs w:val="52"/>
                <w:lang w:eastAsia="zh-CN"/>
              </w:rPr>
              <w:t>中期</w:t>
            </w:r>
            <w:r>
              <w:rPr>
                <w:rFonts w:hint="eastAsia" w:ascii="宋体" w:hAnsi="宋体" w:eastAsia="宋体" w:cs="宋体"/>
                <w:b/>
                <w:bCs/>
                <w:color w:val="444444"/>
                <w:kern w:val="0"/>
                <w:sz w:val="52"/>
                <w:szCs w:val="52"/>
              </w:rPr>
              <w:t>报告</w:t>
            </w:r>
          </w:p>
          <w:p>
            <w:pPr>
              <w:widowControl/>
              <w:wordWrap w:val="0"/>
              <w:jc w:val="left"/>
              <w:rPr>
                <w:rFonts w:ascii="宋体" w:hAnsi="宋体" w:eastAsia="宋体" w:cs="宋体"/>
                <w:color w:val="444444"/>
                <w:kern w:val="0"/>
                <w:sz w:val="24"/>
              </w:rPr>
            </w:pPr>
            <w:r>
              <w:rPr>
                <w:rFonts w:hint="eastAsia" w:ascii="宋体" w:hAnsi="宋体" w:eastAsia="宋体" w:cs="宋体"/>
                <w:color w:val="444444"/>
                <w:kern w:val="0"/>
                <w:sz w:val="24"/>
              </w:rPr>
              <w:br w:type="textWrapping"/>
            </w:r>
            <w:r>
              <w:rPr>
                <w:rFonts w:hint="eastAsia" w:ascii="宋体" w:hAnsi="宋体" w:eastAsia="宋体" w:cs="宋体"/>
                <w:color w:val="444444"/>
                <w:kern w:val="0"/>
                <w:sz w:val="24"/>
              </w:rPr>
              <w:br w:type="textWrapping"/>
            </w:r>
            <w:r>
              <w:rPr>
                <w:rFonts w:hint="eastAsia" w:ascii="宋体" w:hAnsi="宋体" w:eastAsia="宋体" w:cs="宋体"/>
                <w:color w:val="444444"/>
                <w:kern w:val="0"/>
                <w:sz w:val="24"/>
              </w:rPr>
              <w:br w:type="textWrapping"/>
            </w:r>
            <w:r>
              <w:rPr>
                <w:rFonts w:hint="eastAsia" w:ascii="宋体" w:hAnsi="宋体" w:eastAsia="宋体" w:cs="宋体"/>
                <w:color w:val="444444"/>
                <w:kern w:val="0"/>
                <w:sz w:val="24"/>
              </w:rPr>
              <w:br w:type="textWrapping"/>
            </w:r>
            <w:r>
              <w:rPr>
                <w:rFonts w:hint="eastAsia" w:ascii="宋体" w:hAnsi="宋体" w:eastAsia="宋体" w:cs="宋体"/>
                <w:color w:val="444444"/>
                <w:kern w:val="0"/>
                <w:sz w:val="24"/>
              </w:rPr>
              <w:br w:type="textWrapping"/>
            </w:r>
            <w:r>
              <w:rPr>
                <w:rFonts w:hint="eastAsia" w:ascii="宋体" w:hAnsi="宋体" w:eastAsia="宋体" w:cs="宋体"/>
                <w:color w:val="444444"/>
                <w:kern w:val="0"/>
                <w:sz w:val="24"/>
              </w:rPr>
              <w:br w:type="textWrapping"/>
            </w:r>
          </w:p>
          <w:tbl>
            <w:tblPr>
              <w:tblStyle w:val="3"/>
              <w:tblW w:w="10361" w:type="dxa"/>
              <w:tblInd w:w="0" w:type="dxa"/>
              <w:tblLayout w:type="fixed"/>
              <w:tblCellMar>
                <w:top w:w="15" w:type="dxa"/>
                <w:left w:w="15" w:type="dxa"/>
                <w:bottom w:w="15" w:type="dxa"/>
                <w:right w:w="15" w:type="dxa"/>
              </w:tblCellMar>
            </w:tblPr>
            <w:tblGrid>
              <w:gridCol w:w="3428"/>
              <w:gridCol w:w="6933"/>
            </w:tblGrid>
            <w:tr>
              <w:tblPrEx>
                <w:tblLayout w:type="fixed"/>
                <w:tblCellMar>
                  <w:top w:w="15" w:type="dxa"/>
                  <w:left w:w="15" w:type="dxa"/>
                  <w:bottom w:w="15" w:type="dxa"/>
                  <w:right w:w="15" w:type="dxa"/>
                </w:tblCellMar>
              </w:tblPrEx>
              <w:tc>
                <w:tcPr>
                  <w:tcW w:w="3428"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33"/>
                      <w:szCs w:val="33"/>
                    </w:rPr>
                  </w:pPr>
                  <w:r>
                    <w:rPr>
                      <w:rFonts w:ascii="宋体" w:hAnsi="宋体" w:eastAsia="宋体" w:cs="宋体"/>
                      <w:kern w:val="0"/>
                      <w:sz w:val="33"/>
                      <w:szCs w:val="33"/>
                    </w:rPr>
                    <w:t>课题名称：</w:t>
                  </w:r>
                </w:p>
              </w:tc>
              <w:tc>
                <w:tcPr>
                  <w:tcW w:w="6933"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24"/>
                    </w:rPr>
                  </w:pPr>
                  <w:r>
                    <w:rPr>
                      <w:rFonts w:ascii="宋体" w:hAnsi="宋体" w:eastAsia="宋体" w:cs="宋体"/>
                      <w:kern w:val="0"/>
                      <w:sz w:val="41"/>
                    </w:rPr>
                    <w:t>小学语文“微课教学模式”的设计与应用研究</w:t>
                  </w:r>
                </w:p>
              </w:tc>
            </w:tr>
            <w:tr>
              <w:tblPrEx>
                <w:tblLayout w:type="fixed"/>
                <w:tblCellMar>
                  <w:top w:w="15" w:type="dxa"/>
                  <w:left w:w="15" w:type="dxa"/>
                  <w:bottom w:w="15" w:type="dxa"/>
                  <w:right w:w="15" w:type="dxa"/>
                </w:tblCellMar>
              </w:tblPrEx>
              <w:tc>
                <w:tcPr>
                  <w:tcW w:w="3428"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33"/>
                      <w:szCs w:val="33"/>
                    </w:rPr>
                  </w:pPr>
                  <w:r>
                    <w:rPr>
                      <w:rFonts w:ascii="宋体" w:hAnsi="宋体" w:eastAsia="宋体" w:cs="宋体"/>
                      <w:kern w:val="0"/>
                      <w:sz w:val="33"/>
                      <w:szCs w:val="33"/>
                    </w:rPr>
                    <w:t>学科分类：</w:t>
                  </w:r>
                </w:p>
              </w:tc>
              <w:tc>
                <w:tcPr>
                  <w:tcW w:w="6933"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24"/>
                    </w:rPr>
                  </w:pPr>
                  <w:r>
                    <w:rPr>
                      <w:rFonts w:ascii="宋体" w:hAnsi="宋体" w:eastAsia="宋体" w:cs="宋体"/>
                      <w:kern w:val="0"/>
                      <w:sz w:val="41"/>
                    </w:rPr>
                    <w:t>信息技术</w:t>
                  </w:r>
                </w:p>
              </w:tc>
            </w:tr>
            <w:tr>
              <w:tblPrEx>
                <w:tblLayout w:type="fixed"/>
                <w:tblCellMar>
                  <w:top w:w="15" w:type="dxa"/>
                  <w:left w:w="15" w:type="dxa"/>
                  <w:bottom w:w="15" w:type="dxa"/>
                  <w:right w:w="15" w:type="dxa"/>
                </w:tblCellMar>
              </w:tblPrEx>
              <w:tc>
                <w:tcPr>
                  <w:tcW w:w="3428"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33"/>
                      <w:szCs w:val="33"/>
                    </w:rPr>
                  </w:pPr>
                  <w:r>
                    <w:rPr>
                      <w:rFonts w:ascii="宋体" w:hAnsi="宋体" w:eastAsia="宋体" w:cs="宋体"/>
                      <w:kern w:val="0"/>
                      <w:sz w:val="33"/>
                      <w:szCs w:val="33"/>
                    </w:rPr>
                    <w:t>课题类别：</w:t>
                  </w:r>
                </w:p>
              </w:tc>
              <w:tc>
                <w:tcPr>
                  <w:tcW w:w="6933"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24"/>
                    </w:rPr>
                  </w:pPr>
                  <w:r>
                    <w:rPr>
                      <w:rFonts w:ascii="宋体" w:hAnsi="宋体" w:eastAsia="宋体" w:cs="宋体"/>
                      <w:kern w:val="0"/>
                      <w:sz w:val="41"/>
                    </w:rPr>
                    <w:t>专项课题</w:t>
                  </w:r>
                </w:p>
              </w:tc>
            </w:tr>
            <w:tr>
              <w:tblPrEx>
                <w:tblLayout w:type="fixed"/>
                <w:tblCellMar>
                  <w:top w:w="15" w:type="dxa"/>
                  <w:left w:w="15" w:type="dxa"/>
                  <w:bottom w:w="15" w:type="dxa"/>
                  <w:right w:w="15" w:type="dxa"/>
                </w:tblCellMar>
              </w:tblPrEx>
              <w:tc>
                <w:tcPr>
                  <w:tcW w:w="3428"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33"/>
                      <w:szCs w:val="33"/>
                    </w:rPr>
                  </w:pPr>
                  <w:r>
                    <w:rPr>
                      <w:rFonts w:ascii="宋体" w:hAnsi="宋体" w:eastAsia="宋体" w:cs="宋体"/>
                      <w:kern w:val="0"/>
                      <w:sz w:val="33"/>
                      <w:szCs w:val="33"/>
                    </w:rPr>
                    <w:t>课 题 负 责 人：</w:t>
                  </w:r>
                </w:p>
              </w:tc>
              <w:tc>
                <w:tcPr>
                  <w:tcW w:w="6933"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24"/>
                    </w:rPr>
                  </w:pPr>
                  <w:r>
                    <w:rPr>
                      <w:rFonts w:ascii="宋体" w:hAnsi="宋体" w:eastAsia="宋体" w:cs="宋体"/>
                      <w:kern w:val="0"/>
                      <w:sz w:val="41"/>
                    </w:rPr>
                    <w:t>杨颖</w:t>
                  </w:r>
                </w:p>
              </w:tc>
            </w:tr>
            <w:tr>
              <w:tblPrEx>
                <w:tblLayout w:type="fixed"/>
                <w:tblCellMar>
                  <w:top w:w="15" w:type="dxa"/>
                  <w:left w:w="15" w:type="dxa"/>
                  <w:bottom w:w="15" w:type="dxa"/>
                  <w:right w:w="15" w:type="dxa"/>
                </w:tblCellMar>
              </w:tblPrEx>
              <w:tc>
                <w:tcPr>
                  <w:tcW w:w="3428"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33"/>
                      <w:szCs w:val="33"/>
                    </w:rPr>
                  </w:pPr>
                  <w:r>
                    <w:rPr>
                      <w:rFonts w:ascii="宋体" w:hAnsi="宋体" w:eastAsia="宋体" w:cs="宋体"/>
                      <w:kern w:val="0"/>
                      <w:sz w:val="33"/>
                      <w:szCs w:val="33"/>
                    </w:rPr>
                    <w:t>负责人所在单位：</w:t>
                  </w:r>
                </w:p>
              </w:tc>
              <w:tc>
                <w:tcPr>
                  <w:tcW w:w="6933"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24"/>
                    </w:rPr>
                  </w:pPr>
                  <w:r>
                    <w:rPr>
                      <w:rFonts w:ascii="宋体" w:hAnsi="宋体" w:eastAsia="宋体" w:cs="宋体"/>
                      <w:kern w:val="0"/>
                      <w:sz w:val="41"/>
                    </w:rPr>
                    <w:t>天津市东丽区李明庄学校</w:t>
                  </w:r>
                </w:p>
              </w:tc>
            </w:tr>
            <w:tr>
              <w:tblPrEx>
                <w:tblLayout w:type="fixed"/>
                <w:tblCellMar>
                  <w:top w:w="15" w:type="dxa"/>
                  <w:left w:w="15" w:type="dxa"/>
                  <w:bottom w:w="15" w:type="dxa"/>
                  <w:right w:w="15" w:type="dxa"/>
                </w:tblCellMar>
              </w:tblPrEx>
              <w:tc>
                <w:tcPr>
                  <w:tcW w:w="3428"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33"/>
                      <w:szCs w:val="33"/>
                    </w:rPr>
                  </w:pPr>
                  <w:r>
                    <w:rPr>
                      <w:rFonts w:ascii="宋体" w:hAnsi="宋体" w:eastAsia="宋体" w:cs="宋体"/>
                      <w:kern w:val="0"/>
                      <w:sz w:val="33"/>
                      <w:szCs w:val="33"/>
                    </w:rPr>
                    <w:t>填表日期：</w:t>
                  </w:r>
                </w:p>
              </w:tc>
              <w:tc>
                <w:tcPr>
                  <w:tcW w:w="6933" w:type="dxa"/>
                  <w:shd w:val="clear" w:color="auto" w:fill="auto"/>
                  <w:tcMar>
                    <w:top w:w="0" w:type="dxa"/>
                    <w:left w:w="0" w:type="dxa"/>
                    <w:bottom w:w="200" w:type="dxa"/>
                    <w:right w:w="0" w:type="dxa"/>
                  </w:tcMar>
                </w:tcPr>
                <w:p>
                  <w:pPr>
                    <w:widowControl/>
                    <w:wordWrap w:val="0"/>
                    <w:jc w:val="left"/>
                    <w:rPr>
                      <w:rFonts w:hint="default" w:ascii="宋体" w:hAnsi="宋体" w:eastAsia="宋体" w:cs="宋体"/>
                      <w:kern w:val="0"/>
                      <w:sz w:val="24"/>
                      <w:lang w:val="en-US" w:eastAsia="zh-CN"/>
                    </w:rPr>
                  </w:pPr>
                  <w:r>
                    <w:rPr>
                      <w:rFonts w:hint="eastAsia" w:ascii="宋体" w:hAnsi="宋体" w:eastAsia="宋体" w:cs="宋体"/>
                      <w:kern w:val="0"/>
                      <w:sz w:val="41"/>
                      <w:lang w:val="en-US" w:eastAsia="zh-CN"/>
                    </w:rPr>
                    <w:t>2019-6-24</w:t>
                  </w:r>
                </w:p>
              </w:tc>
            </w:tr>
          </w:tbl>
          <w:p>
            <w:pPr>
              <w:widowControl/>
              <w:wordWrap w:val="0"/>
              <w:jc w:val="left"/>
              <w:rPr>
                <w:rFonts w:ascii="宋体" w:hAnsi="宋体" w:eastAsia="宋体" w:cs="宋体"/>
                <w:color w:val="444444"/>
                <w:kern w:val="0"/>
                <w:sz w:val="24"/>
              </w:rPr>
            </w:pPr>
          </w:p>
        </w:tc>
      </w:tr>
    </w:tbl>
    <w:p>
      <w:pPr>
        <w:widowControl/>
        <w:shd w:val="clear" w:color="auto" w:fill="FFFFFF"/>
        <w:jc w:val="center"/>
        <w:outlineLvl w:val="0"/>
        <w:rPr>
          <w:rFonts w:hint="eastAsia" w:ascii="方正小标宋简体" w:hAnsi="方正小标宋简体" w:eastAsia="方正小标宋简体" w:cs="方正小标宋简体"/>
          <w:b/>
          <w:bCs/>
          <w:sz w:val="44"/>
          <w:szCs w:val="44"/>
        </w:rPr>
      </w:pPr>
    </w:p>
    <w:p>
      <w:pPr>
        <w:widowControl/>
        <w:shd w:val="clear" w:color="auto" w:fill="FFFFFF"/>
        <w:jc w:val="center"/>
        <w:outlineLvl w:val="0"/>
        <w:rPr>
          <w:rFonts w:hint="eastAsia" w:ascii="方正小标宋简体" w:hAnsi="方正小标宋简体" w:eastAsia="方正小标宋简体" w:cs="方正小标宋简体"/>
          <w:b/>
          <w:bCs/>
          <w:color w:val="444444"/>
          <w:kern w:val="0"/>
          <w:sz w:val="36"/>
          <w:szCs w:val="36"/>
        </w:rPr>
      </w:pPr>
    </w:p>
    <w:p>
      <w:pPr>
        <w:widowControl/>
        <w:shd w:val="clear" w:color="auto" w:fill="FFFFFF"/>
        <w:jc w:val="center"/>
        <w:outlineLvl w:val="0"/>
        <w:rPr>
          <w:rFonts w:hint="eastAsia" w:ascii="方正小标宋简体" w:hAnsi="方正小标宋简体" w:eastAsia="方正小标宋简体" w:cs="方正小标宋简体"/>
          <w:b/>
          <w:bCs/>
          <w:color w:val="444444"/>
          <w:kern w:val="0"/>
          <w:sz w:val="36"/>
          <w:szCs w:val="36"/>
        </w:rPr>
      </w:pPr>
    </w:p>
    <w:p>
      <w:pPr>
        <w:widowControl/>
        <w:shd w:val="clear" w:color="auto" w:fill="FFFFFF"/>
        <w:jc w:val="center"/>
        <w:outlineLvl w:val="0"/>
        <w:rPr>
          <w:rFonts w:hint="eastAsia" w:ascii="方正小标宋简体" w:hAnsi="方正小标宋简体" w:eastAsia="方正小标宋简体" w:cs="方正小标宋简体"/>
          <w:b/>
          <w:bCs/>
          <w:color w:val="444444"/>
          <w:kern w:val="0"/>
          <w:sz w:val="36"/>
          <w:szCs w:val="36"/>
        </w:rPr>
      </w:pPr>
    </w:p>
    <w:p>
      <w:pPr>
        <w:widowControl/>
        <w:shd w:val="clear" w:color="auto" w:fill="FFFFFF"/>
        <w:jc w:val="center"/>
        <w:outlineLvl w:val="0"/>
        <w:rPr>
          <w:rFonts w:hint="eastAsia" w:ascii="方正小标宋简体" w:hAnsi="方正小标宋简体" w:eastAsia="方正小标宋简体" w:cs="方正小标宋简体"/>
          <w:b/>
          <w:bCs/>
          <w:color w:val="444444"/>
          <w:kern w:val="0"/>
          <w:sz w:val="36"/>
          <w:szCs w:val="36"/>
        </w:rPr>
      </w:pPr>
      <w:bookmarkStart w:id="0" w:name="_GoBack"/>
      <w:bookmarkEnd w:id="0"/>
    </w:p>
    <w:p>
      <w:pPr>
        <w:widowControl/>
        <w:shd w:val="clear" w:color="auto" w:fill="FFFFFF"/>
        <w:jc w:val="center"/>
        <w:outlineLvl w:val="0"/>
        <w:rPr>
          <w:rFonts w:hint="eastAsia" w:ascii="方正小标宋简体" w:hAnsi="方正小标宋简体" w:eastAsia="方正小标宋简体" w:cs="方正小标宋简体"/>
          <w:b/>
          <w:bCs/>
          <w:color w:val="444444"/>
          <w:kern w:val="36"/>
          <w:sz w:val="36"/>
          <w:szCs w:val="36"/>
        </w:rPr>
      </w:pPr>
      <w:r>
        <w:rPr>
          <w:rFonts w:hint="eastAsia" w:ascii="方正小标宋简体" w:hAnsi="方正小标宋简体" w:eastAsia="方正小标宋简体" w:cs="方正小标宋简体"/>
          <w:b/>
          <w:bCs/>
          <w:color w:val="444444"/>
          <w:kern w:val="0"/>
          <w:sz w:val="36"/>
          <w:szCs w:val="36"/>
        </w:rPr>
        <w:t>小学语文“微课教学模式”的设计与应用研究</w:t>
      </w:r>
    </w:p>
    <w:p>
      <w:pPr>
        <w:rPr>
          <w:rFonts w:hint="eastAsia"/>
          <w:sz w:val="28"/>
          <w:szCs w:val="28"/>
        </w:rPr>
      </w:pPr>
      <w:r>
        <w:rPr>
          <w:rFonts w:hint="eastAsia"/>
          <w:sz w:val="28"/>
          <w:szCs w:val="28"/>
        </w:rPr>
        <w:t xml:space="preserve"> </w:t>
      </w:r>
    </w:p>
    <w:p>
      <w:pPr>
        <w:jc w:val="both"/>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课题概述</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课以微视频为核心，微教案、微课件、微练习是教师提供的相对静态型的技术化资源；微反思、微点评、微反馈是微课在组织微课教学活动和应用过程中动态生成的智慧型资源。对微课教学模式的研究有助于提高学生的学习兴趣以及教师的校本课程开发的能力，对于提升课堂教学的有效性具有重要意义。</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东丽区教育局推进数字化校园工程，依托现代化达标建设，为学校投入大量资金设备。学校积极建设“三通两平台”，实现优质资源班班通，校校通，着力打造人人通。这为微课教学开展，提供良好平台。</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本课题研究结合小学语文教材的特点，从微课的特点、应用出发，进行微课在小学语文教学中有效运用的案例研究，期望通过本课题的研究，达到这样的目标：</w:t>
      </w:r>
    </w:p>
    <w:p>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（1）充分利用网络资源平台，借助班班通，通过微课在语文教学中的有效运用，提高学生的语文学习效率以及自主学习的能力，改变学习方式。</w:t>
      </w:r>
    </w:p>
    <w:p>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（2）提高教师专业素养，微课制作的水平，建立小学语文微课资源库，实现微课的共享。</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二、前期工作进展情况</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在课题立项后，我们一直积极开展课题研究、努力探寻达到目标的路径。我们先是聘请了我校的胡玉玲</w:t>
      </w:r>
      <w:r>
        <w:rPr>
          <w:rFonts w:hint="eastAsia" w:ascii="仿宋_GB2312" w:hAnsi="仿宋_GB2312" w:eastAsia="仿宋_GB2312" w:cs="仿宋_GB2312"/>
          <w:sz w:val="32"/>
          <w:szCs w:val="32"/>
          <w:lang w:eastAsia="zh-CN"/>
        </w:rPr>
        <w:t>校长和电教中心薛春艳</w:t>
      </w:r>
      <w:r>
        <w:rPr>
          <w:rFonts w:hint="eastAsia" w:ascii="仿宋_GB2312" w:hAnsi="仿宋_GB2312" w:eastAsia="仿宋_GB2312" w:cs="仿宋_GB2312"/>
          <w:sz w:val="32"/>
          <w:szCs w:val="32"/>
        </w:rPr>
        <w:t>两位副高级职称的教师担任我们课题的指导专家，为我们指引方向。然后进行了</w:t>
      </w:r>
      <w:r>
        <w:rPr>
          <w:rFonts w:hint="eastAsia" w:ascii="仿宋_GB2312" w:hAnsi="仿宋_GB2312" w:eastAsia="仿宋_GB2312" w:cs="仿宋_GB2312"/>
          <w:sz w:val="32"/>
          <w:szCs w:val="32"/>
          <w:lang w:eastAsia="zh-CN"/>
        </w:rPr>
        <w:t>教师电教技术使用能力调查。学校积极组织教师参加</w:t>
      </w:r>
      <w:r>
        <w:rPr>
          <w:rFonts w:hint="eastAsia" w:ascii="仿宋_GB2312" w:hAnsi="仿宋_GB2312" w:eastAsia="仿宋_GB2312" w:cs="仿宋_GB2312"/>
          <w:sz w:val="32"/>
          <w:szCs w:val="32"/>
        </w:rPr>
        <w:t>“教师信息技术能力提升”培训。</w:t>
      </w:r>
      <w:r>
        <w:rPr>
          <w:rFonts w:hint="eastAsia" w:ascii="仿宋_GB2312" w:hAnsi="仿宋_GB2312" w:eastAsia="仿宋_GB2312" w:cs="仿宋_GB2312"/>
          <w:sz w:val="32"/>
          <w:szCs w:val="32"/>
          <w:lang w:eastAsia="zh-CN"/>
        </w:rPr>
        <w:t>秉承我校教师队伍培养“请进来，走出去”的教育理念，学校鼓励教师外出学习，为教师搭建学习平台，提供学习机会。同时，聘请校外有丰富经验的教师进行微课教学，展示希沃电子授课助手软件的使用，给老师们生动形象的感官体验。教师信息技术应用于教学的能力大幅度提升。鼓励年轻教师总结反思，积极撰写论文。</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三、前期研究成效（阶段性研究成果及其价值）</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目前，年轻教师电教水平逐年提升，在最近的“德雅杯”课堂竞赛中，各组优秀教师已经能够运用希沃制作互动式微课。从课堂呈现看，</w:t>
      </w:r>
      <w:r>
        <w:rPr>
          <w:rFonts w:hint="eastAsia" w:ascii="仿宋_GB2312" w:hAnsi="仿宋_GB2312" w:eastAsia="仿宋_GB2312" w:cs="仿宋_GB2312"/>
          <w:sz w:val="32"/>
          <w:szCs w:val="32"/>
        </w:rPr>
        <w:t>“微课”能更好地满足学生对知识点的</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学习是传统课堂学习的一种重要补充和拓展资源</w:t>
      </w:r>
      <w:r>
        <w:rPr>
          <w:rFonts w:hint="eastAsia" w:ascii="仿宋_GB2312" w:hAnsi="仿宋_GB2312" w:eastAsia="仿宋_GB2312" w:cs="仿宋_GB2312"/>
          <w:sz w:val="32"/>
          <w:szCs w:val="32"/>
          <w:lang w:eastAsia="zh-CN"/>
        </w:rPr>
        <w:t>，提升了课堂效率。</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同时，青年教师结合自己学习根据教学需要、学情需要制作了一些微课资料，开展了教学中的应用与实践，初步实现微课与课堂教学的有效对接的。</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四、存在的主要问题和困难</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结合学校开展教育教学活动、“三通两平台”建设，教师微课应用存在以下问题：</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选题太大，没有聚焦教学重点、难点、疑点、易错点，选取显性知识或教学活动的组织。表面上看起来很热闹，实际上学生学不到什么实质性内容。2、将微课等同于课堂片段。有的教师直接使用摄像设备将整个课堂过程录制下来，然后截取一个教学片段，缺乏对知识点结构分析，无法体现微课“微”的妙处。3、使用方式单一。虽然青年教师在课堂上能够初步实现微课与课程的对接，但是大部分案例还是停留在课前预习以及布置课后作业，缺乏在微课的前、中、后三个阶段提出系列能够引导学生深度思考的问题。4、过分追求可视化、动态化和趣味性。年轻教师制作有创意，而且能够运用多种制作工作，制作画面精美，具有游戏交互性的微课，但是，不可避免的会护士内容的设计以及讲授的技巧。可汗学院的微课画面都非常简单，也一样受到了学习者的广泛好评，在全球掀起了在线学习的风潮。5、视频拍摄和制作有技术缺陷。有的老师会采用拍摄的方式制作微课，但画面不够清晰，缺少后期制作，例如没有进行必要的裁剪、添加字幕、特效，音画不同步，视听不一致，噪音大。</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五、后期工作思路</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梳理前期工作的各项材料，做好过程性资料的积累。也为课题的深入研究提供佐证。</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课题组成员的理论学习，提升理论素养。本课题组组长带领成员认真学习课题方案，明确课题研究方向，深入了解课题研究方法，结合实际，扎实有效地开展研究。定期组织学习交流，不断提升课题组成员的理论素养。</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3、与专家进行专题会议，让专家为我们的研究工作引领方向。 </w:t>
      </w:r>
    </w:p>
    <w:p>
      <w:pPr>
        <w:jc w:val="both"/>
        <w:rPr>
          <w:rFonts w:hint="eastAsia" w:ascii="黑体" w:hAnsi="黑体" w:eastAsia="黑体" w:cs="黑体"/>
          <w:sz w:val="32"/>
          <w:szCs w:val="32"/>
          <w:lang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重要变更及课题经费使用情况说明</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因课题需要，新增加课题组成员7名。分别是杨清蓓，魏梅红，李璇，刘美琦，黄鑫，孙蕾，杨雪。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908F1"/>
    <w:rsid w:val="01510308"/>
    <w:rsid w:val="06E53FA4"/>
    <w:rsid w:val="197C4F69"/>
    <w:rsid w:val="314C4D64"/>
    <w:rsid w:val="415526EF"/>
    <w:rsid w:val="56A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2019-05-17T03:38:00Z</dcterms:created>
  <dc:creator>雪</dc:creator>
  <cp:lastModifiedBy>小颖</cp:lastModifiedBy>
  <dcterms:modified xsi:type="dcterms:W3CDTF">2019-06-24T04:33:34Z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