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wordWrap w:val="0"/>
        <w:spacing w:line="495" w:lineRule="atLeast"/>
        <w:ind w:firstLine="420"/>
        <w:jc w:val="center"/>
        <w:rPr>
          <w:rFonts w:hint="eastAsia" w:ascii="宋体" w:hAnsi="宋体" w:cs="Tahoma"/>
          <w:b/>
          <w:bCs/>
          <w:color w:val="000000"/>
          <w:kern w:val="0"/>
          <w:sz w:val="28"/>
          <w:szCs w:val="28"/>
          <w:lang w:val="en-US" w:eastAsia="zh-CN"/>
        </w:rPr>
      </w:pPr>
      <w:r>
        <w:rPr>
          <w:rFonts w:hint="eastAsia" w:ascii="宋体" w:hAnsi="宋体" w:cs="Tahoma"/>
          <w:b/>
          <w:bCs/>
          <w:color w:val="000000"/>
          <w:kern w:val="0"/>
          <w:sz w:val="28"/>
          <w:szCs w:val="28"/>
          <w:lang w:val="en-US" w:eastAsia="zh-CN"/>
        </w:rPr>
        <w:t>《网络学习空间应用与学生核心素养提高的研究》</w:t>
      </w:r>
    </w:p>
    <w:p>
      <w:pPr>
        <w:widowControl/>
        <w:shd w:val="clear" w:color="auto" w:fill="FFFFFF"/>
        <w:wordWrap w:val="0"/>
        <w:spacing w:line="495" w:lineRule="atLeast"/>
        <w:ind w:firstLine="420"/>
        <w:jc w:val="center"/>
        <w:rPr>
          <w:rFonts w:hint="eastAsia" w:ascii="宋体" w:hAnsi="宋体" w:cs="Tahoma"/>
          <w:b/>
          <w:bCs/>
          <w:color w:val="000000"/>
          <w:kern w:val="0"/>
          <w:sz w:val="28"/>
          <w:szCs w:val="28"/>
          <w:lang w:val="en-US" w:eastAsia="zh-CN"/>
        </w:rPr>
      </w:pPr>
      <w:r>
        <w:rPr>
          <w:rFonts w:hint="eastAsia" w:ascii="宋体" w:hAnsi="宋体" w:cs="Tahoma"/>
          <w:b/>
          <w:bCs/>
          <w:color w:val="000000"/>
          <w:kern w:val="0"/>
          <w:sz w:val="28"/>
          <w:szCs w:val="28"/>
          <w:lang w:val="en-US" w:eastAsia="zh-CN"/>
        </w:rPr>
        <w:t>中期报告要点</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Cs w:val="21"/>
          <w:lang w:val="en-US" w:eastAsia="zh-CN"/>
        </w:rPr>
      </w:pPr>
      <w:r>
        <w:rPr>
          <w:rFonts w:hint="eastAsia" w:ascii="宋体" w:hAnsi="宋体" w:cs="Tahoma"/>
          <w:color w:val="000000"/>
          <w:kern w:val="0"/>
          <w:szCs w:val="21"/>
          <w:lang w:val="en-US" w:eastAsia="zh-CN"/>
        </w:rPr>
        <w:t>自2017年以来，本课题组成员先后召开了多次会议，认真讨论了该课题主要研究的几个部分，并进行了明确分工；据市级审核意见修改了课题标题，将原来的《网络学习空间应用与学生核心素养提升的研究》更改为《网络学习空间应用对学生核心素养提升的研究》进一步明确了网络学习空间与学生核心素养二者的关系，最终完成开题报告。积极搜集相关的文献资料，开展调研活动。研究过程中发现，不同学科、不同课型学习空间的运用是有差异的。所以，为了达到网络学习空间教学的最优化，课题组成员又针对本人所带的具体班级课程类型，做了相应学习空间的应用与探索。现将此课题研究情况报告如下：</w:t>
      </w:r>
    </w:p>
    <w:p>
      <w:pPr>
        <w:keepNext w:val="0"/>
        <w:keepLines w:val="0"/>
        <w:pageBreakBefore w:val="0"/>
        <w:widowControl/>
        <w:shd w:val="clear" w:color="auto" w:fill="FFFFFF"/>
        <w:kinsoku/>
        <w:wordWrap w:val="0"/>
        <w:overflowPunct/>
        <w:topLinePunct w:val="0"/>
        <w:autoSpaceDE/>
        <w:autoSpaceDN/>
        <w:bidi w:val="0"/>
        <w:adjustRightInd/>
        <w:snapToGrid/>
        <w:spacing w:before="157" w:beforeLines="50" w:after="157" w:afterLines="50" w:line="360" w:lineRule="exact"/>
        <w:ind w:left="0" w:leftChars="0" w:right="0" w:rightChars="0" w:firstLine="420" w:firstLineChars="0"/>
        <w:jc w:val="left"/>
        <w:textAlignment w:val="auto"/>
        <w:outlineLvl w:val="9"/>
        <w:rPr>
          <w:rFonts w:hint="eastAsia" w:ascii="宋体" w:hAnsi="宋体" w:cs="Tahoma"/>
          <w:b/>
          <w:bCs/>
          <w:color w:val="000000"/>
          <w:kern w:val="0"/>
          <w:szCs w:val="21"/>
          <w:lang w:val="en-US" w:eastAsia="zh-CN"/>
        </w:rPr>
      </w:pPr>
      <w:r>
        <w:rPr>
          <w:rFonts w:hint="eastAsia" w:ascii="宋体" w:hAnsi="宋体" w:cs="Tahoma"/>
          <w:b/>
          <w:bCs/>
          <w:color w:val="000000"/>
          <w:kern w:val="0"/>
          <w:szCs w:val="21"/>
          <w:lang w:val="en-US" w:eastAsia="zh-CN"/>
        </w:rPr>
        <w:t>一、课题研究工作的主要进展及初步成果</w:t>
      </w:r>
    </w:p>
    <w:p>
      <w:pPr>
        <w:keepNext w:val="0"/>
        <w:keepLines w:val="0"/>
        <w:pageBreakBefore w:val="0"/>
        <w:widowControl/>
        <w:shd w:val="clear" w:color="auto" w:fill="FFFFFF"/>
        <w:kinsoku/>
        <w:wordWrap w:val="0"/>
        <w:overflowPunct/>
        <w:topLinePunct w:val="0"/>
        <w:autoSpaceDE/>
        <w:autoSpaceDN/>
        <w:bidi w:val="0"/>
        <w:adjustRightInd/>
        <w:snapToGrid/>
        <w:spacing w:before="157" w:beforeLines="50" w:after="157" w:afterLines="50" w:line="360" w:lineRule="exact"/>
        <w:ind w:left="0" w:leftChars="0" w:right="0" w:rightChars="0" w:firstLine="420" w:firstLineChars="0"/>
        <w:jc w:val="left"/>
        <w:textAlignment w:val="auto"/>
        <w:outlineLvl w:val="9"/>
        <w:rPr>
          <w:rFonts w:hint="eastAsia" w:ascii="宋体" w:hAnsi="宋体" w:cs="Tahoma"/>
          <w:b/>
          <w:bCs/>
          <w:color w:val="000000"/>
          <w:kern w:val="0"/>
          <w:szCs w:val="21"/>
          <w:lang w:val="en-US" w:eastAsia="zh-CN"/>
        </w:rPr>
      </w:pPr>
      <w:r>
        <w:rPr>
          <w:rFonts w:hint="eastAsia" w:ascii="宋体" w:hAnsi="宋体" w:cs="Tahoma"/>
          <w:b/>
          <w:bCs/>
          <w:color w:val="000000"/>
          <w:kern w:val="0"/>
          <w:szCs w:val="21"/>
          <w:lang w:val="en-US" w:eastAsia="zh-CN"/>
        </w:rPr>
        <w:t>第一阶段：2016.12--2017.4，筹划准备阶段。</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b/>
          <w:bCs/>
          <w:color w:val="000000"/>
          <w:kern w:val="0"/>
          <w:sz w:val="21"/>
          <w:szCs w:val="21"/>
          <w:lang w:val="en-US" w:eastAsia="zh-CN"/>
        </w:rPr>
      </w:pPr>
      <w:r>
        <w:rPr>
          <w:rFonts w:hint="eastAsia" w:ascii="宋体" w:hAnsi="宋体" w:cs="Tahoma"/>
          <w:b/>
          <w:bCs/>
          <w:color w:val="000000"/>
          <w:kern w:val="0"/>
          <w:sz w:val="21"/>
          <w:szCs w:val="21"/>
          <w:lang w:val="en-US" w:eastAsia="zh-CN"/>
        </w:rPr>
        <w:t xml:space="preserve">（一）认真进行网络学习空间应用现状的调查、分析及研究，做好课题在课堂实践前的前期准备 </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本课题组成员先后召开了多次会议，认真讨论了该课题主要研究的几个部分，并进行了明确分工；课题组的成员分头做了网络问卷调查，摸清学生对网络学习空间的认识程度，并进行统计；课题组成员查找文献资料自学，收集相关课题的最新研究动态、成果，熟悉并掌握人人通网络学习空间的基本功能，使用方法；测试教师与学生、家长的联通情况，从而为网络学习空间的运用做好充分的保证。</w:t>
      </w:r>
    </w:p>
    <w:p>
      <w:pPr>
        <w:keepNext w:val="0"/>
        <w:keepLines w:val="0"/>
        <w:pageBreakBefore w:val="0"/>
        <w:widowControl/>
        <w:shd w:val="clear" w:color="auto" w:fill="FFFFFF"/>
        <w:kinsoku/>
        <w:wordWrap w:val="0"/>
        <w:overflowPunct/>
        <w:topLinePunct w:val="0"/>
        <w:autoSpaceDE/>
        <w:autoSpaceDN/>
        <w:bidi w:val="0"/>
        <w:adjustRightInd/>
        <w:snapToGrid/>
        <w:spacing w:before="157" w:beforeLines="50" w:after="157" w:afterLines="50" w:line="360" w:lineRule="exact"/>
        <w:ind w:left="0" w:leftChars="0" w:right="0" w:rightChars="0" w:firstLine="420" w:firstLineChars="0"/>
        <w:jc w:val="left"/>
        <w:textAlignment w:val="auto"/>
        <w:outlineLvl w:val="9"/>
        <w:rPr>
          <w:rFonts w:hint="eastAsia" w:ascii="宋体" w:hAnsi="宋体" w:cs="Tahoma"/>
          <w:b/>
          <w:bCs/>
          <w:color w:val="000000"/>
          <w:kern w:val="0"/>
          <w:szCs w:val="21"/>
          <w:lang w:val="en-US" w:eastAsia="zh-CN"/>
        </w:rPr>
      </w:pPr>
      <w:r>
        <w:rPr>
          <w:rFonts w:hint="eastAsia" w:ascii="宋体" w:hAnsi="宋体" w:cs="Tahoma"/>
          <w:b/>
          <w:bCs/>
          <w:color w:val="000000"/>
          <w:kern w:val="0"/>
          <w:szCs w:val="21"/>
          <w:lang w:val="en-US" w:eastAsia="zh-CN"/>
        </w:rPr>
        <w:t>第二阶段：2017.5--2017.12，研究实践阶段。</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b/>
          <w:bCs/>
          <w:color w:val="000000"/>
          <w:kern w:val="0"/>
          <w:sz w:val="21"/>
          <w:szCs w:val="21"/>
          <w:lang w:val="en-US" w:eastAsia="zh-CN"/>
        </w:rPr>
      </w:pPr>
      <w:r>
        <w:rPr>
          <w:rFonts w:hint="eastAsia" w:ascii="宋体" w:hAnsi="宋体" w:cs="Tahoma"/>
          <w:b/>
          <w:bCs/>
          <w:color w:val="000000"/>
          <w:kern w:val="0"/>
          <w:sz w:val="21"/>
          <w:szCs w:val="21"/>
          <w:lang w:val="en-US" w:eastAsia="zh-CN"/>
        </w:rPr>
        <w:t>（二）做好对学生运用网络学习空间前的使用培训，针对于学情设计贴合学生学习的教学设计，扎实开展网络学习空间的辅助学习</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课题开展以来，课题组成员积极组织培训学生，使学生尽快熟悉使用人人通的各个模块进行学习、交流，完善自己个人空间；在每一教学模块学习前，做关于学情的网上调查分析，尝试调整教学设计，以便在实施过程中更贴合学生学习，促进学生保持学习兴趣；课题组成员撰写信息化教学设计、做研究展示课及课件、说课及说课课件，丰富学校的网络教学资源库；尝试利用网络学习空间与学生及家长互动，观察监控网络学习的效果等。运用其中的“布置作业、批改作业”、班级管理中的“我的帖子”、资源管理等模块，与学生进行课下学习、操作技能技巧的沟通交流与切磋，写出阶段性教学论文。</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b/>
          <w:bCs/>
          <w:color w:val="000000"/>
          <w:kern w:val="0"/>
          <w:sz w:val="21"/>
          <w:szCs w:val="21"/>
          <w:lang w:val="en-US" w:eastAsia="zh-CN"/>
        </w:rPr>
      </w:pPr>
      <w:r>
        <w:rPr>
          <w:rFonts w:hint="eastAsia" w:ascii="宋体" w:hAnsi="宋体" w:cs="Tahoma"/>
          <w:b/>
          <w:bCs/>
          <w:color w:val="000000"/>
          <w:kern w:val="0"/>
          <w:sz w:val="21"/>
          <w:szCs w:val="21"/>
          <w:lang w:val="en-US" w:eastAsia="zh-CN"/>
        </w:rPr>
        <w:t>（三）研究将网络学习空间应用于教学实践相对于传统教学的优势在哪里？如何采用网络学习空间的呈现方式，改变教师教以及学生学习的方式，从而构建有效的学科教学</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jc w:val="left"/>
        <w:textAlignment w:val="auto"/>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经过一年多的反复尝试及研究，课题组成员归纳了网络学习空间应用于教学实践的优势在于：教师由知识的传播者转变为学科课程资源的开发者、学生素养的培养者、生涯规划的指导者。为学生发现问题创设情境，搜集信息提供平台，分析推理引导方向；交流合作促进思维分享，形成观念及时评价反馈。网络学习空间使学生在活动中体验，在体验中生成。一个“探究”、分组实验，节时增效，实现全员参与、全程参与、有效参与，从而在提升学生核心素养的同时，达成教学目标。</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82" w:firstLineChars="200"/>
        <w:jc w:val="left"/>
        <w:textAlignment w:val="auto"/>
        <w:rPr>
          <w:rFonts w:hint="eastAsia" w:ascii="宋体" w:hAnsi="宋体"/>
          <w:b/>
          <w:sz w:val="21"/>
          <w:szCs w:val="21"/>
        </w:rPr>
      </w:pPr>
      <w:r>
        <w:rPr>
          <w:rFonts w:hint="eastAsia" w:ascii="宋体" w:hAnsi="宋体"/>
          <w:b/>
          <w:sz w:val="21"/>
          <w:szCs w:val="21"/>
          <w:lang w:val="en-US" w:eastAsia="zh-CN"/>
        </w:rPr>
        <w:t>1.</w:t>
      </w:r>
      <w:r>
        <w:rPr>
          <w:rFonts w:hint="eastAsia" w:ascii="宋体" w:hAnsi="宋体"/>
          <w:b/>
          <w:sz w:val="21"/>
          <w:szCs w:val="21"/>
          <w:lang w:eastAsia="zh-CN"/>
        </w:rPr>
        <w:t>课题组成员认真</w:t>
      </w:r>
      <w:r>
        <w:rPr>
          <w:rFonts w:hint="eastAsia" w:ascii="宋体" w:hAnsi="宋体"/>
          <w:b/>
          <w:sz w:val="21"/>
          <w:szCs w:val="21"/>
        </w:rPr>
        <w:t>执行</w:t>
      </w:r>
      <w:r>
        <w:rPr>
          <w:rFonts w:hint="eastAsia" w:ascii="宋体" w:hAnsi="宋体"/>
          <w:b/>
          <w:sz w:val="21"/>
          <w:szCs w:val="21"/>
          <w:lang w:eastAsia="zh-CN"/>
        </w:rPr>
        <w:t>并</w:t>
      </w:r>
      <w:r>
        <w:rPr>
          <w:rFonts w:hint="eastAsia" w:ascii="宋体" w:hAnsi="宋体"/>
          <w:b/>
          <w:sz w:val="21"/>
          <w:szCs w:val="21"/>
        </w:rPr>
        <w:t>落实实施方案</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jc w:val="left"/>
        <w:textAlignment w:val="auto"/>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目前我校的摄影兴趣小组（周叶老师所带），针对摄影学科进行了大胆尝试。此学科的核心素养在于：社会参与方面，增强社会责任感，提升创新精神和实践能力，促进个人价值实现，推动社会发展进步，发展成为有理想信念、敢于担当的人。通过对人人通，易学派，蓝墨云等一系列网络学习空间功能对比筛选，最终还是选定了QQ群这一网络学习空间，特别是利用QQ群自带的相册功能。目前参与当前活动课的学生全部加入了自建的摄影QQ群。并通过该群，完成课前预习、学情调查；课下小组讨论、在线网上作业提交等。</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82" w:firstLineChars="200"/>
        <w:jc w:val="left"/>
        <w:textAlignment w:val="auto"/>
        <w:rPr>
          <w:rFonts w:hint="eastAsia" w:ascii="宋体" w:hAnsi="宋体"/>
          <w:b/>
          <w:sz w:val="21"/>
          <w:szCs w:val="21"/>
          <w:lang w:val="en-US" w:eastAsia="zh-CN"/>
        </w:rPr>
      </w:pPr>
      <w:r>
        <w:rPr>
          <w:rFonts w:hint="eastAsia" w:ascii="宋体" w:hAnsi="宋体"/>
          <w:b/>
          <w:sz w:val="21"/>
          <w:szCs w:val="21"/>
          <w:lang w:val="en-US" w:eastAsia="zh-CN"/>
        </w:rPr>
        <w:t>2.参加“教学设计”及“核心素养大讨论”培训活动。</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jc w:val="left"/>
        <w:textAlignment w:val="auto"/>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这些培训活动，对我们如何结合本学科的教学模式培养学生核心素养有很强的指导性意义。使我们对学科核心素养有了更深刻的认识，特别是结合本学期（2018年8月）我校开展的“教学设计再研究”的教学主题活动，课题组成员认真研讨教学设计，将设计拓展到课下的教学指导即网络学习空间的运用，设计中体现提升学生思维能力、动手动脑能力及创新能力等核心素养，从而构建有效的学科教学。</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b/>
          <w:bCs/>
          <w:color w:val="000000"/>
          <w:kern w:val="0"/>
          <w:sz w:val="21"/>
          <w:szCs w:val="21"/>
          <w:lang w:val="en-US" w:eastAsia="zh-CN"/>
        </w:rPr>
      </w:pPr>
      <w:r>
        <w:rPr>
          <w:rFonts w:hint="eastAsia" w:ascii="宋体" w:hAnsi="宋体" w:cs="Tahoma"/>
          <w:b/>
          <w:bCs/>
          <w:color w:val="000000"/>
          <w:kern w:val="0"/>
          <w:sz w:val="21"/>
          <w:szCs w:val="21"/>
          <w:lang w:val="en-US" w:eastAsia="zh-CN"/>
        </w:rPr>
        <w:t>（四）注重集备和学科教研活动，定期交流反思，调整思路</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每周五课题组成员充分利用组内的集体备课和学科活动，并在“天津市基础教育网络教研平台”开展的网络教研，对本学科应如何将网络学习空间方式运用于教学实践进行研讨和交流。每月底进行学情数据汇总的总结交流，确保课题的研究时间。从相关理论学习到课堂教学实践中取得的成绩和存在的问题，进行反复交流与反思，不断调整教学设计思路；积极参加市区教研活动，学习借鉴兄弟校的好做法，拓展思路和视野，使各学科教学模式更趋于成熟。</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b/>
          <w:bCs/>
          <w:color w:val="000000"/>
          <w:kern w:val="0"/>
          <w:sz w:val="21"/>
          <w:szCs w:val="21"/>
          <w:lang w:val="en-US" w:eastAsia="zh-CN"/>
        </w:rPr>
      </w:pPr>
      <w:r>
        <w:rPr>
          <w:rFonts w:hint="eastAsia" w:ascii="宋体" w:hAnsi="宋体" w:cs="Tahoma"/>
          <w:b/>
          <w:bCs/>
          <w:color w:val="000000"/>
          <w:kern w:val="0"/>
          <w:sz w:val="21"/>
          <w:szCs w:val="21"/>
          <w:lang w:val="en-US" w:eastAsia="zh-CN"/>
        </w:rPr>
        <w:t>（五）同伴互助，共同实践，扎实研究</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积极组织课题组老师参加各种教学观摩、学习、参观活动。利用互联网建立微信群，积极主动、坦诚无私地公开自己的教学与设计思想。</w:t>
      </w:r>
    </w:p>
    <w:p>
      <w:pPr>
        <w:keepNext w:val="0"/>
        <w:keepLines w:val="0"/>
        <w:pageBreakBefore w:val="0"/>
        <w:widowControl/>
        <w:shd w:val="clear" w:color="auto" w:fill="FFFFFF"/>
        <w:kinsoku/>
        <w:wordWrap w:val="0"/>
        <w:overflowPunct/>
        <w:topLinePunct w:val="0"/>
        <w:autoSpaceDE/>
        <w:autoSpaceDN/>
        <w:bidi w:val="0"/>
        <w:adjustRightInd/>
        <w:snapToGrid/>
        <w:spacing w:before="157" w:beforeLines="50" w:after="157" w:afterLines="50" w:line="360" w:lineRule="exact"/>
        <w:ind w:left="0" w:leftChars="0" w:right="0" w:rightChars="0" w:firstLine="420" w:firstLineChars="0"/>
        <w:jc w:val="left"/>
        <w:textAlignment w:val="auto"/>
        <w:outlineLvl w:val="9"/>
        <w:rPr>
          <w:rFonts w:hint="eastAsia" w:ascii="宋体" w:hAnsi="宋体" w:cs="Tahoma"/>
          <w:b/>
          <w:bCs/>
          <w:color w:val="000000"/>
          <w:kern w:val="0"/>
          <w:szCs w:val="21"/>
          <w:lang w:val="en-US" w:eastAsia="zh-CN"/>
        </w:rPr>
      </w:pPr>
      <w:r>
        <w:rPr>
          <w:rFonts w:hint="eastAsia" w:ascii="宋体" w:hAnsi="宋体" w:cs="Tahoma"/>
          <w:b/>
          <w:bCs/>
          <w:color w:val="000000"/>
          <w:kern w:val="0"/>
          <w:szCs w:val="21"/>
          <w:lang w:val="en-US" w:eastAsia="zh-CN"/>
        </w:rPr>
        <w:t>第三阶段：2018.1--2018.12，中期攻坚阶段--前期研究成效。</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b/>
          <w:bCs/>
          <w:color w:val="000000"/>
          <w:kern w:val="0"/>
          <w:sz w:val="21"/>
          <w:szCs w:val="21"/>
          <w:lang w:val="en-US" w:eastAsia="zh-CN"/>
        </w:rPr>
      </w:pPr>
      <w:r>
        <w:rPr>
          <w:rFonts w:hint="eastAsia" w:ascii="宋体" w:hAnsi="宋体" w:cs="Tahoma"/>
          <w:b/>
          <w:bCs/>
          <w:color w:val="000000"/>
          <w:kern w:val="0"/>
          <w:sz w:val="21"/>
          <w:szCs w:val="21"/>
          <w:lang w:val="en-US" w:eastAsia="zh-CN"/>
        </w:rPr>
        <w:t>（一）如何开展网络空间学习逐渐形成具体模式</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jc w:val="left"/>
        <w:textAlignment w:val="auto"/>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课题组成员基于我校现有软硬件条件，已经初步摸索出一套具体可行的教学模式：</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82" w:firstLineChars="200"/>
        <w:jc w:val="left"/>
        <w:textAlignment w:val="auto"/>
        <w:rPr>
          <w:rFonts w:hint="eastAsia" w:ascii="宋体" w:hAnsi="宋体"/>
          <w:b/>
          <w:sz w:val="21"/>
          <w:szCs w:val="21"/>
          <w:lang w:val="en-US" w:eastAsia="zh-CN"/>
        </w:rPr>
      </w:pPr>
      <w:r>
        <w:rPr>
          <w:rFonts w:hint="eastAsia" w:ascii="宋体" w:hAnsi="宋体"/>
          <w:b/>
          <w:sz w:val="21"/>
          <w:szCs w:val="21"/>
          <w:lang w:val="en-US" w:eastAsia="zh-CN"/>
        </w:rPr>
        <w:t>1.搜集、开发针对于学生个性化学习的信息技术类教学资源，逐步在课前上传进相关网络空间如人人通、微信群、QQ群及绿色滨中APP，为学生自主学习提供充分条件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82" w:firstLineChars="200"/>
        <w:jc w:val="left"/>
        <w:textAlignment w:val="auto"/>
        <w:rPr>
          <w:rFonts w:hint="eastAsia" w:ascii="宋体" w:hAnsi="宋体"/>
          <w:b/>
          <w:sz w:val="21"/>
          <w:szCs w:val="21"/>
          <w:lang w:val="en-US" w:eastAsia="zh-CN"/>
        </w:rPr>
      </w:pPr>
      <w:r>
        <w:rPr>
          <w:rFonts w:hint="eastAsia" w:ascii="宋体" w:hAnsi="宋体"/>
          <w:b/>
          <w:sz w:val="21"/>
          <w:szCs w:val="21"/>
          <w:lang w:val="en-US" w:eastAsia="zh-CN"/>
        </w:rPr>
        <w:t>2.自主学习，思考问题</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jc w:val="left"/>
        <w:textAlignment w:val="auto"/>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基于建构主义的理念，一节课的效果如何应该首先关注学生学的如何，因为知识是不能传递的，教师传递的只是信息，知识必须通过学生的主动建构才能获得。</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82" w:firstLineChars="200"/>
        <w:jc w:val="left"/>
        <w:textAlignment w:val="auto"/>
        <w:rPr>
          <w:rFonts w:hint="eastAsia" w:ascii="宋体" w:hAnsi="宋体"/>
          <w:b/>
          <w:sz w:val="21"/>
          <w:szCs w:val="21"/>
          <w:lang w:val="en-US" w:eastAsia="zh-CN"/>
        </w:rPr>
      </w:pPr>
      <w:r>
        <w:rPr>
          <w:rFonts w:hint="eastAsia" w:ascii="宋体" w:hAnsi="宋体"/>
          <w:b/>
          <w:sz w:val="21"/>
          <w:szCs w:val="21"/>
          <w:lang w:val="en-US" w:eastAsia="zh-CN"/>
        </w:rPr>
        <w:t>3.合作探究，解决问题</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jc w:val="left"/>
        <w:textAlignment w:val="auto"/>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根据建构主义的观点，学生学习过程中的交流应该是多向性的，教学过程不仅包括师生之间的互动，还应包括学生与其他学生甚至家长之间的互动。所以，在这一环节，我们在网上教学资源中的“合作探究”部分呈现一些针对教学重难点设计的相对有难度的问题，一些学生很难独自解决的问题，一些诱导性的问题，由小组讨论共同解决。</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82" w:firstLineChars="200"/>
        <w:jc w:val="left"/>
        <w:textAlignment w:val="auto"/>
        <w:rPr>
          <w:rFonts w:hint="eastAsia" w:ascii="宋体" w:hAnsi="宋体"/>
          <w:b/>
          <w:sz w:val="21"/>
          <w:szCs w:val="21"/>
          <w:lang w:val="en-US" w:eastAsia="zh-CN"/>
        </w:rPr>
      </w:pPr>
      <w:r>
        <w:rPr>
          <w:rFonts w:hint="eastAsia" w:ascii="宋体" w:hAnsi="宋体"/>
          <w:b/>
          <w:sz w:val="21"/>
          <w:szCs w:val="21"/>
          <w:lang w:val="en-US" w:eastAsia="zh-CN"/>
        </w:rPr>
        <w:t>4.练习巩固，应用新知</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jc w:val="left"/>
        <w:textAlignment w:val="auto"/>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知识的应用是教学的目的之一，是衡量知识掌握情况的重要标志，更是加深知识理解和强化思维的重要环节。通过知识的应用，以巩固、深化、活化概念，培养学生分析问题和解决问题的能力。所以，在此环节中，教师根据本节学习内容精心设计不同层次的练习题，并督促学生独立当堂完成。</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82" w:firstLineChars="200"/>
        <w:jc w:val="left"/>
        <w:textAlignment w:val="auto"/>
        <w:rPr>
          <w:rFonts w:hint="eastAsia" w:ascii="宋体" w:hAnsi="宋体"/>
          <w:b/>
          <w:sz w:val="21"/>
          <w:szCs w:val="21"/>
          <w:lang w:val="en-US" w:eastAsia="zh-CN"/>
        </w:rPr>
      </w:pPr>
      <w:r>
        <w:rPr>
          <w:rFonts w:hint="eastAsia" w:ascii="宋体" w:hAnsi="宋体"/>
          <w:b/>
          <w:sz w:val="21"/>
          <w:szCs w:val="21"/>
          <w:lang w:val="en-US" w:eastAsia="zh-CN"/>
        </w:rPr>
        <w:t>5. 总结反思，自我提升</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jc w:val="left"/>
        <w:textAlignment w:val="auto"/>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在这个环节，让学生对所学内容进行回顾梳理总结。其实，在学生回答问题之后，所涉及的教学知识内容就基本呈现出来了，但由于是针对不同的问题，所以知识点分布有些分散，因此需要对知识进行整合。应用建构主义原理，可由学生归纳总结知识要点，如果存在难度也可由教师带领学生进行归纳总结，可以通过列提纲或绘制框架、表格等形式呈现，也可利用学案的填写整理知识。这样不仅可以强化知识概念，引导学生自主建构知识，更能让其在反思中进一步查漏补缺，优化自我。</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b/>
          <w:bCs/>
          <w:color w:val="000000"/>
          <w:kern w:val="0"/>
          <w:sz w:val="21"/>
          <w:szCs w:val="21"/>
          <w:lang w:val="en-US" w:eastAsia="zh-CN"/>
        </w:rPr>
      </w:pPr>
      <w:r>
        <w:rPr>
          <w:rFonts w:hint="eastAsia" w:ascii="宋体" w:hAnsi="宋体" w:cs="Tahoma"/>
          <w:b/>
          <w:bCs/>
          <w:color w:val="000000"/>
          <w:kern w:val="0"/>
          <w:sz w:val="21"/>
          <w:szCs w:val="21"/>
          <w:lang w:val="en-US" w:eastAsia="zh-CN"/>
        </w:rPr>
        <w:t>（二）促进了学生学习能力的提高，学生主体地位得以提升（数据测量分析）</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jc w:val="left"/>
        <w:textAlignment w:val="auto"/>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经过近两年的教学实践，课题组成员将网络学习空间应用于教学，对学生学习能力提升效果显著。采用“问题导学”模式进行教学，充分发挥了学生的主体作用，学生的学习方式得到了较大的转变，促进了学生对问题的思考，培养了学生的问题意识，初步提高了学生分析问题和解决问题以及建构知识的学习创新能力。</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b/>
          <w:bCs/>
          <w:color w:val="000000"/>
          <w:kern w:val="0"/>
          <w:sz w:val="21"/>
          <w:szCs w:val="21"/>
          <w:lang w:val="en-US" w:eastAsia="zh-CN"/>
        </w:rPr>
      </w:pPr>
      <w:r>
        <w:rPr>
          <w:rFonts w:hint="eastAsia" w:ascii="宋体" w:hAnsi="宋体" w:cs="Tahoma"/>
          <w:b/>
          <w:bCs/>
          <w:color w:val="000000"/>
          <w:kern w:val="0"/>
          <w:sz w:val="21"/>
          <w:szCs w:val="21"/>
          <w:lang w:val="en-US" w:eastAsia="zh-CN"/>
        </w:rPr>
        <w:t>（三）提升了教师的专业素养，带动了课堂教学的优化、课后学习的深化。</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jc w:val="left"/>
        <w:textAlignment w:val="auto"/>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采用“将网络学习空间应用于教学实践”模式进行教学，转变了教师的传统教学思想，促进了教师深入钻研教材、认真设计课堂的教学程序，同时加强了教师对学生学法的研究。教师努力将先进的教育思想内化为自己的教育教学理念，转变为自己的教育行为，升华为自己的教育教学特色。在促进学生全面发展、提升核心素养的同时，教师自身的专业素养也得到了发展。</w:t>
      </w:r>
    </w:p>
    <w:p>
      <w:pPr>
        <w:keepNext w:val="0"/>
        <w:keepLines w:val="0"/>
        <w:pageBreakBefore w:val="0"/>
        <w:widowControl/>
        <w:shd w:val="clear" w:color="auto" w:fill="FFFFFF"/>
        <w:kinsoku/>
        <w:wordWrap w:val="0"/>
        <w:overflowPunct/>
        <w:topLinePunct w:val="0"/>
        <w:autoSpaceDE/>
        <w:autoSpaceDN/>
        <w:bidi w:val="0"/>
        <w:adjustRightInd/>
        <w:snapToGrid/>
        <w:spacing w:before="157" w:beforeLines="50" w:after="157" w:afterLines="50" w:line="360" w:lineRule="exact"/>
        <w:ind w:left="0" w:leftChars="0" w:right="0" w:rightChars="0" w:firstLine="420" w:firstLineChars="0"/>
        <w:jc w:val="left"/>
        <w:textAlignment w:val="auto"/>
        <w:outlineLvl w:val="9"/>
        <w:rPr>
          <w:rFonts w:hint="eastAsia" w:ascii="宋体" w:hAnsi="宋体" w:cs="Tahoma"/>
          <w:b/>
          <w:bCs/>
          <w:color w:val="000000"/>
          <w:kern w:val="0"/>
          <w:szCs w:val="21"/>
          <w:lang w:val="en-US" w:eastAsia="zh-CN"/>
        </w:rPr>
      </w:pPr>
      <w:r>
        <w:rPr>
          <w:rFonts w:hint="eastAsia" w:ascii="宋体" w:hAnsi="宋体" w:cs="Tahoma"/>
          <w:b/>
          <w:bCs/>
          <w:color w:val="000000"/>
          <w:kern w:val="0"/>
          <w:szCs w:val="21"/>
          <w:lang w:val="en-US" w:eastAsia="zh-CN"/>
        </w:rPr>
        <w:t>二、课题研究存在的问题</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到目前虽然各学科（信息技术、劳动与技术、摄影兴趣小组）基本形成了“将网络学习空间应用于教学实践”自己的教学模式，但是还存在一些问题：</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1.课题组个别参研教师在教学中虽然改变了传统的教学模式，但放得不开，课堂上学生主体地位体现得不够充分。课上学生利用网络学习空间程度的把握有待进一步探究。</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2.对课中、课后学生评价研究程度不够。</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3.有的教师认为教学模式已经初步形成，继续研究的动力有所欠缺。</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事实上，随着学科核心素养的提出，我们的教学模式不应该固化，应当把深入研究如何培养学生学科核心素养作为主要目标，教学模式更应围绕着这一核心目标来变化，这样才能适应新的时代教育发展对教师提出的新要求。</w:t>
      </w:r>
    </w:p>
    <w:p>
      <w:pPr>
        <w:keepNext w:val="0"/>
        <w:keepLines w:val="0"/>
        <w:pageBreakBefore w:val="0"/>
        <w:widowControl/>
        <w:shd w:val="clear" w:color="auto" w:fill="FFFFFF"/>
        <w:kinsoku/>
        <w:wordWrap w:val="0"/>
        <w:overflowPunct/>
        <w:topLinePunct w:val="0"/>
        <w:autoSpaceDE/>
        <w:autoSpaceDN/>
        <w:bidi w:val="0"/>
        <w:adjustRightInd/>
        <w:snapToGrid/>
        <w:spacing w:before="157" w:beforeLines="50" w:after="157" w:afterLines="50" w:line="360" w:lineRule="exact"/>
        <w:ind w:left="0" w:leftChars="0" w:right="0" w:rightChars="0" w:firstLine="420" w:firstLineChars="0"/>
        <w:jc w:val="left"/>
        <w:textAlignment w:val="auto"/>
        <w:outlineLvl w:val="9"/>
        <w:rPr>
          <w:rFonts w:hint="eastAsia" w:ascii="宋体" w:hAnsi="宋体" w:cs="Tahoma"/>
          <w:b/>
          <w:bCs/>
          <w:color w:val="000000"/>
          <w:kern w:val="0"/>
          <w:szCs w:val="21"/>
          <w:lang w:val="en-US" w:eastAsia="zh-CN"/>
        </w:rPr>
      </w:pPr>
      <w:r>
        <w:rPr>
          <w:rFonts w:hint="eastAsia" w:ascii="宋体" w:hAnsi="宋体" w:cs="Tahoma"/>
          <w:b/>
          <w:bCs/>
          <w:color w:val="000000"/>
          <w:kern w:val="0"/>
          <w:szCs w:val="21"/>
          <w:lang w:val="en-US" w:eastAsia="zh-CN"/>
        </w:rPr>
        <w:t xml:space="preserve">三、重要变更情况、附件资料： </w:t>
      </w:r>
    </w:p>
    <w:p>
      <w:pPr>
        <w:widowControl/>
        <w:shd w:val="clear" w:color="auto" w:fill="FFFFFF"/>
        <w:wordWrap w:val="0"/>
        <w:spacing w:line="495" w:lineRule="atLeast"/>
        <w:ind w:firstLine="420"/>
        <w:jc w:val="left"/>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由于2017年8月教师的任教学科有些变化，信息技术学科增加了王颖教师，王颖老师积极参加科研活动，尝试探索网络学习空间教学模式，在教学实践中取得了一定的成果，经研究决定本课题组吸收王颖老师加入。王颖老师基本情况如下：</w:t>
      </w:r>
    </w:p>
    <w:tbl>
      <w:tblPr>
        <w:tblStyle w:val="4"/>
        <w:tblpPr w:leftFromText="180" w:rightFromText="180" w:vertAnchor="text" w:horzAnchor="page" w:tblpX="1819" w:tblpY="81"/>
        <w:tblOverlap w:val="never"/>
        <w:tblW w:w="8394" w:type="dxa"/>
        <w:tblInd w:w="0" w:type="dxa"/>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73"/>
        <w:gridCol w:w="492"/>
        <w:gridCol w:w="515"/>
        <w:gridCol w:w="806"/>
        <w:gridCol w:w="1254"/>
        <w:gridCol w:w="851"/>
        <w:gridCol w:w="1108"/>
        <w:gridCol w:w="649"/>
        <w:gridCol w:w="526"/>
        <w:gridCol w:w="1220"/>
      </w:tblGrid>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25" w:hRule="atLeast"/>
          <w:tblHeader/>
        </w:trPr>
        <w:tc>
          <w:tcPr>
            <w:tcW w:w="973"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ascii="微软雅黑" w:hAnsi="微软雅黑" w:eastAsia="微软雅黑" w:cs="微软雅黑"/>
                <w:b w:val="0"/>
                <w:i w:val="0"/>
                <w:caps w:val="0"/>
                <w:color w:val="FFFFFF"/>
                <w:spacing w:val="0"/>
                <w:sz w:val="15"/>
                <w:szCs w:val="15"/>
              </w:rPr>
            </w:pPr>
            <w:r>
              <w:rPr>
                <w:rFonts w:hint="eastAsia" w:ascii="微软雅黑" w:hAnsi="微软雅黑" w:eastAsia="微软雅黑" w:cs="微软雅黑"/>
                <w:b w:val="0"/>
                <w:i w:val="0"/>
                <w:caps w:val="0"/>
                <w:color w:val="FFFFFF"/>
                <w:spacing w:val="0"/>
                <w:kern w:val="0"/>
                <w:sz w:val="15"/>
                <w:szCs w:val="15"/>
                <w:lang w:val="en-US" w:eastAsia="zh-CN" w:bidi="ar"/>
              </w:rPr>
              <w:t>参加者类型</w:t>
            </w:r>
          </w:p>
        </w:tc>
        <w:tc>
          <w:tcPr>
            <w:tcW w:w="492"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sz w:val="15"/>
                <w:szCs w:val="15"/>
              </w:rPr>
            </w:pPr>
            <w:r>
              <w:rPr>
                <w:rFonts w:hint="eastAsia" w:ascii="微软雅黑" w:hAnsi="微软雅黑" w:eastAsia="微软雅黑" w:cs="微软雅黑"/>
                <w:b w:val="0"/>
                <w:i w:val="0"/>
                <w:caps w:val="0"/>
                <w:color w:val="FFFFFF"/>
                <w:spacing w:val="0"/>
                <w:kern w:val="0"/>
                <w:sz w:val="15"/>
                <w:szCs w:val="15"/>
                <w:lang w:val="en-US" w:eastAsia="zh-CN" w:bidi="ar"/>
              </w:rPr>
              <w:t>姓名</w:t>
            </w:r>
          </w:p>
        </w:tc>
        <w:tc>
          <w:tcPr>
            <w:tcW w:w="515"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sz w:val="15"/>
                <w:szCs w:val="15"/>
              </w:rPr>
            </w:pPr>
            <w:r>
              <w:rPr>
                <w:rFonts w:hint="eastAsia" w:ascii="微软雅黑" w:hAnsi="微软雅黑" w:eastAsia="微软雅黑" w:cs="微软雅黑"/>
                <w:b w:val="0"/>
                <w:i w:val="0"/>
                <w:caps w:val="0"/>
                <w:color w:val="FFFFFF"/>
                <w:spacing w:val="0"/>
                <w:kern w:val="0"/>
                <w:sz w:val="15"/>
                <w:szCs w:val="15"/>
                <w:lang w:val="en-US" w:eastAsia="zh-CN" w:bidi="ar"/>
              </w:rPr>
              <w:t>性别</w:t>
            </w:r>
          </w:p>
        </w:tc>
        <w:tc>
          <w:tcPr>
            <w:tcW w:w="806"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sz w:val="15"/>
                <w:szCs w:val="15"/>
              </w:rPr>
            </w:pPr>
            <w:r>
              <w:rPr>
                <w:rFonts w:hint="eastAsia" w:ascii="微软雅黑" w:hAnsi="微软雅黑" w:eastAsia="微软雅黑" w:cs="微软雅黑"/>
                <w:b w:val="0"/>
                <w:i w:val="0"/>
                <w:caps w:val="0"/>
                <w:color w:val="FFFFFF"/>
                <w:spacing w:val="0"/>
                <w:kern w:val="0"/>
                <w:sz w:val="15"/>
                <w:szCs w:val="15"/>
                <w:lang w:val="en-US" w:eastAsia="zh-CN" w:bidi="ar"/>
              </w:rPr>
              <w:t>出生日期</w:t>
            </w:r>
          </w:p>
        </w:tc>
        <w:tc>
          <w:tcPr>
            <w:tcW w:w="1254"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sz w:val="15"/>
                <w:szCs w:val="15"/>
              </w:rPr>
            </w:pPr>
            <w:r>
              <w:rPr>
                <w:rFonts w:hint="eastAsia" w:ascii="微软雅黑" w:hAnsi="微软雅黑" w:eastAsia="微软雅黑" w:cs="微软雅黑"/>
                <w:b w:val="0"/>
                <w:i w:val="0"/>
                <w:caps w:val="0"/>
                <w:color w:val="FFFFFF"/>
                <w:spacing w:val="0"/>
                <w:kern w:val="0"/>
                <w:sz w:val="15"/>
                <w:szCs w:val="15"/>
                <w:lang w:val="en-US" w:eastAsia="zh-CN" w:bidi="ar"/>
              </w:rPr>
              <w:t>所属单位/学校</w:t>
            </w:r>
          </w:p>
        </w:tc>
        <w:tc>
          <w:tcPr>
            <w:tcW w:w="851"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sz w:val="15"/>
                <w:szCs w:val="15"/>
              </w:rPr>
            </w:pPr>
            <w:r>
              <w:rPr>
                <w:rFonts w:hint="eastAsia" w:ascii="微软雅黑" w:hAnsi="微软雅黑" w:eastAsia="微软雅黑" w:cs="微软雅黑"/>
                <w:b w:val="0"/>
                <w:i w:val="0"/>
                <w:caps w:val="0"/>
                <w:color w:val="FFFFFF"/>
                <w:spacing w:val="0"/>
                <w:kern w:val="0"/>
                <w:sz w:val="15"/>
                <w:szCs w:val="15"/>
                <w:lang w:val="en-US" w:eastAsia="zh-CN" w:bidi="ar"/>
              </w:rPr>
              <w:t>专业职务</w:t>
            </w:r>
          </w:p>
        </w:tc>
        <w:tc>
          <w:tcPr>
            <w:tcW w:w="1108"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sz w:val="15"/>
                <w:szCs w:val="15"/>
              </w:rPr>
            </w:pPr>
            <w:r>
              <w:rPr>
                <w:rFonts w:hint="eastAsia" w:ascii="微软雅黑" w:hAnsi="微软雅黑" w:eastAsia="微软雅黑" w:cs="微软雅黑"/>
                <w:b w:val="0"/>
                <w:i w:val="0"/>
                <w:caps w:val="0"/>
                <w:color w:val="FFFFFF"/>
                <w:spacing w:val="0"/>
                <w:kern w:val="0"/>
                <w:sz w:val="15"/>
                <w:szCs w:val="15"/>
                <w:lang w:val="en-US" w:eastAsia="zh-CN" w:bidi="ar"/>
              </w:rPr>
              <w:t>研究专长</w:t>
            </w:r>
          </w:p>
        </w:tc>
        <w:tc>
          <w:tcPr>
            <w:tcW w:w="649"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sz w:val="15"/>
                <w:szCs w:val="15"/>
              </w:rPr>
            </w:pPr>
            <w:r>
              <w:rPr>
                <w:rFonts w:hint="eastAsia" w:ascii="微软雅黑" w:hAnsi="微软雅黑" w:eastAsia="微软雅黑" w:cs="微软雅黑"/>
                <w:b w:val="0"/>
                <w:i w:val="0"/>
                <w:caps w:val="0"/>
                <w:color w:val="FFFFFF"/>
                <w:spacing w:val="0"/>
                <w:kern w:val="0"/>
                <w:sz w:val="15"/>
                <w:szCs w:val="15"/>
                <w:lang w:val="en-US" w:eastAsia="zh-CN" w:bidi="ar"/>
              </w:rPr>
              <w:t>学历</w:t>
            </w:r>
          </w:p>
        </w:tc>
        <w:tc>
          <w:tcPr>
            <w:tcW w:w="526"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sz w:val="15"/>
                <w:szCs w:val="15"/>
              </w:rPr>
            </w:pPr>
            <w:r>
              <w:rPr>
                <w:rFonts w:hint="eastAsia" w:ascii="微软雅黑" w:hAnsi="微软雅黑" w:eastAsia="微软雅黑" w:cs="微软雅黑"/>
                <w:b w:val="0"/>
                <w:i w:val="0"/>
                <w:caps w:val="0"/>
                <w:color w:val="FFFFFF"/>
                <w:spacing w:val="0"/>
                <w:kern w:val="0"/>
                <w:sz w:val="15"/>
                <w:szCs w:val="15"/>
                <w:lang w:val="en-US" w:eastAsia="zh-CN" w:bidi="ar"/>
              </w:rPr>
              <w:t>学位</w:t>
            </w:r>
          </w:p>
        </w:tc>
        <w:tc>
          <w:tcPr>
            <w:tcW w:w="1220"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sz w:val="15"/>
                <w:szCs w:val="15"/>
              </w:rPr>
            </w:pPr>
            <w:r>
              <w:rPr>
                <w:rFonts w:hint="eastAsia" w:ascii="微软雅黑" w:hAnsi="微软雅黑" w:eastAsia="微软雅黑" w:cs="微软雅黑"/>
                <w:b w:val="0"/>
                <w:i w:val="0"/>
                <w:caps w:val="0"/>
                <w:color w:val="FFFFFF"/>
                <w:spacing w:val="0"/>
                <w:kern w:val="0"/>
                <w:sz w:val="15"/>
                <w:szCs w:val="15"/>
                <w:lang w:val="en-US" w:eastAsia="zh-CN" w:bidi="ar"/>
              </w:rPr>
              <w:t>手机号</w:t>
            </w:r>
          </w:p>
        </w:tc>
      </w:tr>
      <w:tr>
        <w:tblPrEx>
          <w:tblBorders>
            <w:top w:val="single" w:color="E5E5E5" w:sz="6" w:space="0"/>
            <w:left w:val="single" w:color="E5E5E5" w:sz="6" w:space="0"/>
            <w:bottom w:val="single" w:color="E5E5E5" w:sz="6" w:space="0"/>
            <w:right w:val="single" w:color="E5E5E5" w:sz="6" w:space="0"/>
            <w:insideH w:val="none" w:color="auto" w:sz="0" w:space="0"/>
            <w:insideV w:val="none" w:color="auto" w:sz="0" w:space="0"/>
          </w:tblBorders>
          <w:tblLayout w:type="fixed"/>
          <w:tblCellMar>
            <w:top w:w="15" w:type="dxa"/>
            <w:left w:w="15" w:type="dxa"/>
            <w:bottom w:w="15" w:type="dxa"/>
            <w:right w:w="15" w:type="dxa"/>
          </w:tblCellMar>
        </w:tblPrEx>
        <w:trPr>
          <w:trHeight w:val="287" w:hRule="atLeast"/>
          <w:tblHeader/>
        </w:trPr>
        <w:tc>
          <w:tcPr>
            <w:tcW w:w="973"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kern w:val="0"/>
                <w:sz w:val="15"/>
                <w:szCs w:val="15"/>
                <w:lang w:val="en-US" w:eastAsia="zh-CN" w:bidi="ar"/>
              </w:rPr>
            </w:pPr>
            <w:r>
              <w:rPr>
                <w:rFonts w:hint="eastAsia" w:ascii="微软雅黑" w:hAnsi="微软雅黑" w:eastAsia="微软雅黑" w:cs="微软雅黑"/>
                <w:b w:val="0"/>
                <w:i w:val="0"/>
                <w:caps w:val="0"/>
                <w:color w:val="FFFFFF"/>
                <w:spacing w:val="0"/>
                <w:kern w:val="0"/>
                <w:sz w:val="15"/>
                <w:szCs w:val="15"/>
                <w:lang w:val="en-US" w:eastAsia="zh-CN" w:bidi="ar"/>
              </w:rPr>
              <w:t>参与</w:t>
            </w:r>
          </w:p>
        </w:tc>
        <w:tc>
          <w:tcPr>
            <w:tcW w:w="492"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kern w:val="0"/>
                <w:sz w:val="15"/>
                <w:szCs w:val="15"/>
                <w:lang w:val="en-US" w:eastAsia="zh-CN" w:bidi="ar"/>
              </w:rPr>
            </w:pPr>
            <w:r>
              <w:rPr>
                <w:rFonts w:hint="eastAsia" w:ascii="微软雅黑" w:hAnsi="微软雅黑" w:eastAsia="微软雅黑" w:cs="微软雅黑"/>
                <w:b w:val="0"/>
                <w:i w:val="0"/>
                <w:caps w:val="0"/>
                <w:color w:val="FFFFFF"/>
                <w:spacing w:val="0"/>
                <w:kern w:val="0"/>
                <w:sz w:val="15"/>
                <w:szCs w:val="15"/>
                <w:lang w:val="en-US" w:eastAsia="zh-CN" w:bidi="ar"/>
              </w:rPr>
              <w:t>王颖</w:t>
            </w:r>
          </w:p>
        </w:tc>
        <w:tc>
          <w:tcPr>
            <w:tcW w:w="515"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kern w:val="0"/>
                <w:sz w:val="15"/>
                <w:szCs w:val="15"/>
                <w:lang w:val="en-US" w:eastAsia="zh-CN" w:bidi="ar"/>
              </w:rPr>
            </w:pPr>
            <w:r>
              <w:rPr>
                <w:rFonts w:hint="eastAsia" w:ascii="微软雅黑" w:hAnsi="微软雅黑" w:eastAsia="微软雅黑" w:cs="微软雅黑"/>
                <w:b w:val="0"/>
                <w:i w:val="0"/>
                <w:caps w:val="0"/>
                <w:color w:val="FFFFFF"/>
                <w:spacing w:val="0"/>
                <w:kern w:val="0"/>
                <w:sz w:val="15"/>
                <w:szCs w:val="15"/>
                <w:lang w:val="en-US" w:eastAsia="zh-CN" w:bidi="ar"/>
              </w:rPr>
              <w:t>女</w:t>
            </w:r>
          </w:p>
        </w:tc>
        <w:tc>
          <w:tcPr>
            <w:tcW w:w="806"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kern w:val="0"/>
                <w:sz w:val="15"/>
                <w:szCs w:val="15"/>
                <w:lang w:val="en-US" w:eastAsia="zh-CN" w:bidi="ar"/>
              </w:rPr>
            </w:pPr>
            <w:r>
              <w:rPr>
                <w:rFonts w:hint="eastAsia" w:ascii="微软雅黑" w:hAnsi="微软雅黑" w:eastAsia="微软雅黑" w:cs="微软雅黑"/>
                <w:b w:val="0"/>
                <w:i w:val="0"/>
                <w:caps w:val="0"/>
                <w:color w:val="FFFFFF"/>
                <w:spacing w:val="0"/>
                <w:kern w:val="0"/>
                <w:sz w:val="15"/>
                <w:szCs w:val="15"/>
                <w:lang w:val="en-US" w:eastAsia="zh-CN" w:bidi="ar"/>
              </w:rPr>
              <w:t>1992.3.13</w:t>
            </w:r>
          </w:p>
        </w:tc>
        <w:tc>
          <w:tcPr>
            <w:tcW w:w="1254"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kern w:val="0"/>
                <w:sz w:val="15"/>
                <w:szCs w:val="15"/>
                <w:lang w:val="en-US" w:eastAsia="zh-CN" w:bidi="ar"/>
              </w:rPr>
            </w:pPr>
            <w:r>
              <w:rPr>
                <w:rFonts w:hint="eastAsia" w:ascii="微软雅黑" w:hAnsi="微软雅黑" w:eastAsia="微软雅黑" w:cs="微软雅黑"/>
                <w:b w:val="0"/>
                <w:i w:val="0"/>
                <w:caps w:val="0"/>
                <w:color w:val="FFFFFF"/>
                <w:spacing w:val="0"/>
                <w:kern w:val="0"/>
                <w:sz w:val="15"/>
                <w:szCs w:val="15"/>
                <w:lang w:val="en-US" w:eastAsia="zh-CN" w:bidi="ar"/>
              </w:rPr>
              <w:t>天津市滨湖中学</w:t>
            </w:r>
          </w:p>
        </w:tc>
        <w:tc>
          <w:tcPr>
            <w:tcW w:w="851"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kern w:val="0"/>
                <w:sz w:val="15"/>
                <w:szCs w:val="15"/>
                <w:lang w:val="en-US" w:eastAsia="zh-CN" w:bidi="ar"/>
              </w:rPr>
            </w:pPr>
            <w:r>
              <w:rPr>
                <w:rFonts w:hint="eastAsia" w:ascii="微软雅黑" w:hAnsi="微软雅黑" w:eastAsia="微软雅黑" w:cs="微软雅黑"/>
                <w:b w:val="0"/>
                <w:i w:val="0"/>
                <w:caps w:val="0"/>
                <w:color w:val="FFFFFF"/>
                <w:spacing w:val="0"/>
                <w:kern w:val="0"/>
                <w:sz w:val="15"/>
                <w:szCs w:val="15"/>
                <w:lang w:val="en-US" w:eastAsia="zh-CN" w:bidi="ar"/>
              </w:rPr>
              <w:t>中级二级</w:t>
            </w:r>
          </w:p>
        </w:tc>
        <w:tc>
          <w:tcPr>
            <w:tcW w:w="1108"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kern w:val="0"/>
                <w:sz w:val="15"/>
                <w:szCs w:val="15"/>
                <w:lang w:val="en-US" w:eastAsia="zh-CN" w:bidi="ar"/>
              </w:rPr>
            </w:pPr>
            <w:r>
              <w:rPr>
                <w:rFonts w:hint="eastAsia" w:ascii="微软雅黑" w:hAnsi="微软雅黑" w:eastAsia="微软雅黑" w:cs="微软雅黑"/>
                <w:b w:val="0"/>
                <w:i w:val="0"/>
                <w:caps w:val="0"/>
                <w:color w:val="FFFFFF"/>
                <w:spacing w:val="0"/>
                <w:kern w:val="0"/>
                <w:sz w:val="15"/>
                <w:szCs w:val="15"/>
                <w:lang w:val="en-US" w:eastAsia="zh-CN" w:bidi="ar"/>
              </w:rPr>
              <w:t>信息技术教学</w:t>
            </w:r>
          </w:p>
        </w:tc>
        <w:tc>
          <w:tcPr>
            <w:tcW w:w="649"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kern w:val="0"/>
                <w:sz w:val="15"/>
                <w:szCs w:val="15"/>
                <w:lang w:val="en-US" w:eastAsia="zh-CN" w:bidi="ar"/>
              </w:rPr>
            </w:pPr>
            <w:r>
              <w:rPr>
                <w:rFonts w:hint="eastAsia" w:ascii="微软雅黑" w:hAnsi="微软雅黑" w:eastAsia="微软雅黑" w:cs="微软雅黑"/>
                <w:b w:val="0"/>
                <w:i w:val="0"/>
                <w:caps w:val="0"/>
                <w:color w:val="FFFFFF"/>
                <w:spacing w:val="0"/>
                <w:kern w:val="0"/>
                <w:sz w:val="15"/>
                <w:szCs w:val="15"/>
                <w:lang w:val="en-US" w:eastAsia="zh-CN" w:bidi="ar"/>
              </w:rPr>
              <w:t>研究生</w:t>
            </w:r>
          </w:p>
        </w:tc>
        <w:tc>
          <w:tcPr>
            <w:tcW w:w="526"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kern w:val="0"/>
                <w:sz w:val="15"/>
                <w:szCs w:val="15"/>
                <w:lang w:val="en-US" w:eastAsia="zh-CN" w:bidi="ar"/>
              </w:rPr>
            </w:pPr>
            <w:r>
              <w:rPr>
                <w:rFonts w:hint="eastAsia" w:ascii="微软雅黑" w:hAnsi="微软雅黑" w:eastAsia="微软雅黑" w:cs="微软雅黑"/>
                <w:b w:val="0"/>
                <w:i w:val="0"/>
                <w:caps w:val="0"/>
                <w:color w:val="FFFFFF"/>
                <w:spacing w:val="0"/>
                <w:kern w:val="0"/>
                <w:sz w:val="15"/>
                <w:szCs w:val="15"/>
                <w:lang w:val="en-US" w:eastAsia="zh-CN" w:bidi="ar"/>
              </w:rPr>
              <w:t>硕士</w:t>
            </w:r>
          </w:p>
        </w:tc>
        <w:tc>
          <w:tcPr>
            <w:tcW w:w="1220" w:type="dxa"/>
            <w:shd w:val="clear" w:color="auto" w:fill="3388CB"/>
            <w:tcMar>
              <w:top w:w="90" w:type="dxa"/>
              <w:left w:w="90" w:type="dxa"/>
              <w:bottom w:w="90" w:type="dxa"/>
              <w:right w:w="9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FFFFFF"/>
                <w:spacing w:val="0"/>
                <w:kern w:val="0"/>
                <w:sz w:val="15"/>
                <w:szCs w:val="15"/>
                <w:lang w:val="en-US" w:eastAsia="zh-CN" w:bidi="ar"/>
              </w:rPr>
            </w:pPr>
            <w:r>
              <w:rPr>
                <w:rFonts w:hint="eastAsia" w:ascii="微软雅黑" w:hAnsi="微软雅黑" w:eastAsia="微软雅黑" w:cs="微软雅黑"/>
                <w:b w:val="0"/>
                <w:i w:val="0"/>
                <w:caps w:val="0"/>
                <w:color w:val="FFFFFF"/>
                <w:spacing w:val="0"/>
                <w:kern w:val="0"/>
                <w:sz w:val="15"/>
                <w:szCs w:val="15"/>
                <w:lang w:val="en-US" w:eastAsia="zh-CN" w:bidi="ar"/>
              </w:rPr>
              <w:t>18630300609</w:t>
            </w:r>
          </w:p>
        </w:tc>
      </w:tr>
    </w:tbl>
    <w:p>
      <w:pPr>
        <w:keepNext w:val="0"/>
        <w:keepLines w:val="0"/>
        <w:pageBreakBefore w:val="0"/>
        <w:widowControl/>
        <w:shd w:val="clear" w:color="auto" w:fill="FFFFFF"/>
        <w:kinsoku/>
        <w:wordWrap w:val="0"/>
        <w:overflowPunct/>
        <w:topLinePunct w:val="0"/>
        <w:autoSpaceDE/>
        <w:autoSpaceDN/>
        <w:bidi w:val="0"/>
        <w:adjustRightInd/>
        <w:snapToGrid/>
        <w:spacing w:before="157" w:beforeLines="50" w:after="157" w:afterLines="50" w:line="360" w:lineRule="exact"/>
        <w:ind w:left="0" w:leftChars="0" w:right="0" w:rightChars="0" w:firstLine="420" w:firstLineChars="0"/>
        <w:jc w:val="left"/>
        <w:textAlignment w:val="auto"/>
        <w:outlineLvl w:val="9"/>
        <w:rPr>
          <w:rFonts w:hint="eastAsia" w:ascii="宋体" w:hAnsi="宋体" w:cs="Tahoma"/>
          <w:b/>
          <w:bCs/>
          <w:color w:val="000000"/>
          <w:kern w:val="0"/>
          <w:szCs w:val="21"/>
          <w:lang w:val="en-US" w:eastAsia="zh-CN"/>
        </w:rPr>
      </w:pPr>
      <w:r>
        <w:rPr>
          <w:rFonts w:hint="eastAsia" w:ascii="宋体" w:hAnsi="宋体" w:cs="Tahoma"/>
          <w:b/>
          <w:bCs/>
          <w:color w:val="000000"/>
          <w:kern w:val="0"/>
          <w:szCs w:val="21"/>
          <w:lang w:val="en-US" w:eastAsia="zh-CN"/>
        </w:rPr>
        <w:t>四、后期工作思路设想</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接下来的2019年1月到6月是我们课题的展示结题阶段。我们计划主要采用以下方法进行最终验证。</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b/>
          <w:sz w:val="21"/>
          <w:szCs w:val="21"/>
          <w:lang w:val="en-US" w:eastAsia="zh-CN"/>
        </w:rPr>
      </w:pPr>
      <w:r>
        <w:rPr>
          <w:rFonts w:hint="eastAsia" w:ascii="宋体" w:hAnsi="宋体"/>
          <w:b/>
          <w:sz w:val="21"/>
          <w:szCs w:val="21"/>
          <w:lang w:val="en-US" w:eastAsia="zh-CN"/>
        </w:rPr>
        <w:t>1.实验法</w:t>
      </w:r>
    </w:p>
    <w:p>
      <w:pPr>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beforeAutospacing="0" w:afterAutospacing="0" w:line="360" w:lineRule="exact"/>
        <w:ind w:left="420" w:leftChars="0" w:right="0" w:rightChars="0" w:firstLine="0" w:firstLineChars="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实验研究的内容 </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0" w:firstLineChars="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    假设→提出验证思路步骤 </w:t>
      </w:r>
    </w:p>
    <w:p>
      <w:pPr>
        <w:keepNext w:val="0"/>
        <w:keepLines w:val="0"/>
        <w:pageBreakBefore w:val="0"/>
        <w:widowControl/>
        <w:numPr>
          <w:ilvl w:val="0"/>
          <w:numId w:val="2"/>
        </w:numPr>
        <w:shd w:val="clear" w:color="auto" w:fill="FFFFFF"/>
        <w:kinsoku/>
        <w:wordWrap w:val="0"/>
        <w:overflowPunct/>
        <w:topLinePunct w:val="0"/>
        <w:autoSpaceDE/>
        <w:autoSpaceDN/>
        <w:bidi w:val="0"/>
        <w:adjustRightInd/>
        <w:snapToGrid/>
        <w:spacing w:beforeAutospacing="0" w:afterAutospacing="0" w:line="360" w:lineRule="exact"/>
        <w:ind w:left="420" w:leftChars="0" w:right="0" w:rightChars="0" w:firstLine="0" w:firstLineChars="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实验研究的方法</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0" w:firstLineChars="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    样本的选择、变量的确定、实验设计、实验方法。</w:t>
      </w:r>
    </w:p>
    <w:p>
      <w:pPr>
        <w:keepNext w:val="0"/>
        <w:keepLines w:val="0"/>
        <w:pageBreakBefore w:val="0"/>
        <w:widowControl/>
        <w:numPr>
          <w:ilvl w:val="0"/>
          <w:numId w:val="3"/>
        </w:numPr>
        <w:shd w:val="clear" w:color="auto" w:fill="FFFFFF"/>
        <w:kinsoku/>
        <w:wordWrap w:val="0"/>
        <w:overflowPunct/>
        <w:topLinePunct w:val="0"/>
        <w:autoSpaceDE/>
        <w:autoSpaceDN/>
        <w:bidi w:val="0"/>
        <w:adjustRightInd/>
        <w:snapToGrid/>
        <w:spacing w:beforeAutospacing="0" w:afterAutospacing="0" w:line="360" w:lineRule="exact"/>
        <w:ind w:left="420" w:leftChars="0" w:right="0" w:rightChars="0" w:firstLine="0" w:firstLineChars="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网络学习空间在初中信息技术等相关学科教学中的实施  </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0" w:firstLineChars="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    设计阶段；实施阶段。</w:t>
      </w:r>
    </w:p>
    <w:p>
      <w:pPr>
        <w:keepNext w:val="0"/>
        <w:keepLines w:val="0"/>
        <w:pageBreakBefore w:val="0"/>
        <w:widowControl/>
        <w:numPr>
          <w:ilvl w:val="0"/>
          <w:numId w:val="4"/>
        </w:numPr>
        <w:shd w:val="clear" w:color="auto" w:fill="FFFFFF"/>
        <w:kinsoku/>
        <w:wordWrap w:val="0"/>
        <w:overflowPunct/>
        <w:topLinePunct w:val="0"/>
        <w:autoSpaceDE/>
        <w:autoSpaceDN/>
        <w:bidi w:val="0"/>
        <w:adjustRightInd/>
        <w:snapToGrid/>
        <w:spacing w:beforeAutospacing="0" w:afterAutospacing="0" w:line="360" w:lineRule="exact"/>
        <w:ind w:left="420" w:leftChars="0" w:right="0" w:rightChars="0" w:firstLine="0" w:firstLineChars="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数据测量与数据处理：</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 本实验拟采用spss10.0软件进行数据处理（前测、中测、后测）</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（1）样本：</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本实验样本选自我校七、八年级学生，学生根据小学入学成绩平行分班。本次实验选的实验班和对照班为本课题同一研究者任教的班级，由于是平行分班，学习成绩和学习能力均无显著差异，故随机选取某班为实验班，某班为控制班，两个样本容量均等于30，所以属于大样本。</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（2）变量：</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自变量：学科教学学习途径</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实验班引入网络学习空间教学，对照班还沿用常规的教学学习。</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因变量：学科成绩，合作参与度，创新实践能力等。 </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（3）实验班与对照班学科平均成绩差异显著性检验：</w:t>
      </w:r>
    </w:p>
    <w:tbl>
      <w:tblPr>
        <w:tblStyle w:val="4"/>
        <w:tblW w:w="7571" w:type="dxa"/>
        <w:tblCellSpacing w:w="0"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7"/>
        <w:gridCol w:w="2843"/>
        <w:gridCol w:w="2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blCellSpacing w:w="0" w:type="dxa"/>
        </w:trPr>
        <w:tc>
          <w:tcPr>
            <w:tcW w:w="2287" w:type="dxa"/>
            <w:tcBorders>
              <w:tl2br w:val="nil"/>
              <w:tr2bl w:val="nil"/>
            </w:tcBorders>
            <w:tcMar>
              <w:top w:w="72" w:type="dxa"/>
              <w:left w:w="144" w:type="dxa"/>
              <w:bottom w:w="72" w:type="dxa"/>
              <w:right w:w="144"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right="0" w:rightChars="0" w:firstLine="420" w:firstLineChars="200"/>
              <w:jc w:val="center"/>
              <w:textAlignment w:val="auto"/>
              <w:outlineLvl w:val="9"/>
              <w:rPr>
                <w:color w:val="auto"/>
                <w:sz w:val="18"/>
                <w:szCs w:val="18"/>
                <w:shd w:val="clear" w:color="auto" w:fill="auto"/>
              </w:rPr>
            </w:pPr>
          </w:p>
        </w:tc>
        <w:tc>
          <w:tcPr>
            <w:tcW w:w="2843" w:type="dxa"/>
            <w:tcBorders>
              <w:tl2br w:val="nil"/>
              <w:tr2bl w:val="nil"/>
            </w:tcBorders>
            <w:tcMar>
              <w:top w:w="72" w:type="dxa"/>
              <w:left w:w="144" w:type="dxa"/>
              <w:bottom w:w="72" w:type="dxa"/>
              <w:right w:w="144"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right="0" w:rightChars="0" w:firstLine="420" w:firstLineChars="200"/>
              <w:jc w:val="center"/>
              <w:textAlignment w:val="auto"/>
              <w:outlineLvl w:val="9"/>
              <w:rPr>
                <w:color w:val="auto"/>
                <w:sz w:val="18"/>
                <w:szCs w:val="18"/>
                <w:shd w:val="clear" w:color="auto" w:fill="auto"/>
              </w:rPr>
            </w:pPr>
            <w:r>
              <w:rPr>
                <w:rFonts w:hint="eastAsia" w:ascii="宋体" w:hAnsi="宋体" w:eastAsia="宋体" w:cs="宋体"/>
                <w:color w:val="auto"/>
                <w:sz w:val="18"/>
                <w:szCs w:val="18"/>
                <w:shd w:val="clear" w:color="auto" w:fill="auto"/>
              </w:rPr>
              <w:t>平均分</w:t>
            </w:r>
          </w:p>
        </w:tc>
        <w:tc>
          <w:tcPr>
            <w:tcW w:w="2441" w:type="dxa"/>
            <w:tcBorders>
              <w:tl2br w:val="nil"/>
              <w:tr2bl w:val="nil"/>
            </w:tcBorders>
            <w:tcMar>
              <w:top w:w="72" w:type="dxa"/>
              <w:left w:w="144" w:type="dxa"/>
              <w:bottom w:w="72" w:type="dxa"/>
              <w:right w:w="144" w:type="dxa"/>
            </w:tcMar>
            <w:vAlign w:val="top"/>
          </w:tcPr>
          <w:p>
            <w:pPr>
              <w:keepNext w:val="0"/>
              <w:keepLines w:val="0"/>
              <w:pageBreakBefore w:val="0"/>
              <w:widowControl/>
              <w:kinsoku/>
              <w:overflowPunct/>
              <w:topLinePunct w:val="0"/>
              <w:autoSpaceDE/>
              <w:autoSpaceDN/>
              <w:bidi w:val="0"/>
              <w:adjustRightInd/>
              <w:snapToGrid/>
              <w:spacing w:beforeAutospacing="0" w:afterAutospacing="0" w:line="360" w:lineRule="exact"/>
              <w:ind w:right="0" w:rightChars="0" w:firstLine="420" w:firstLineChars="200"/>
              <w:jc w:val="center"/>
              <w:textAlignment w:val="auto"/>
              <w:outlineLvl w:val="9"/>
              <w:rPr>
                <w:rFonts w:hint="eastAsia" w:ascii="宋体" w:eastAsia="宋体"/>
                <w:color w:val="auto"/>
                <w:sz w:val="18"/>
                <w:szCs w:val="18"/>
                <w:shd w:val="clear" w:color="auto" w:fill="auto"/>
                <w:lang w:eastAsia="zh-CN"/>
              </w:rPr>
            </w:pPr>
            <w:r>
              <w:rPr>
                <w:rFonts w:hint="eastAsia" w:ascii="宋体"/>
                <w:color w:val="auto"/>
                <w:sz w:val="18"/>
                <w:szCs w:val="18"/>
                <w:shd w:val="clear" w:color="auto" w:fill="auto"/>
                <w:lang w:eastAsia="zh-CN"/>
              </w:rPr>
              <w:t>标准差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 w:hRule="atLeast"/>
          <w:tblCellSpacing w:w="0" w:type="dxa"/>
        </w:trPr>
        <w:tc>
          <w:tcPr>
            <w:tcW w:w="2287" w:type="dxa"/>
            <w:tcBorders>
              <w:tl2br w:val="nil"/>
              <w:tr2bl w:val="nil"/>
            </w:tcBorders>
            <w:tcMar>
              <w:top w:w="72" w:type="dxa"/>
              <w:left w:w="144" w:type="dxa"/>
              <w:bottom w:w="72" w:type="dxa"/>
              <w:right w:w="144"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18"/>
                <w:szCs w:val="18"/>
                <w:shd w:val="clear" w:color="auto" w:fill="auto"/>
              </w:rPr>
            </w:pPr>
            <w:r>
              <w:rPr>
                <w:rFonts w:hint="eastAsia" w:ascii="宋体" w:hAnsi="宋体" w:eastAsia="宋体" w:cs="宋体"/>
                <w:color w:val="auto"/>
                <w:sz w:val="18"/>
                <w:szCs w:val="18"/>
                <w:shd w:val="clear" w:color="auto" w:fill="auto"/>
              </w:rPr>
              <w:t>实验班</w:t>
            </w:r>
          </w:p>
        </w:tc>
        <w:tc>
          <w:tcPr>
            <w:tcW w:w="2843" w:type="dxa"/>
            <w:tcBorders>
              <w:tl2br w:val="nil"/>
              <w:tr2bl w:val="nil"/>
            </w:tcBorders>
            <w:tcMar>
              <w:top w:w="72" w:type="dxa"/>
              <w:left w:w="144" w:type="dxa"/>
              <w:bottom w:w="72" w:type="dxa"/>
              <w:right w:w="144"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18"/>
                <w:szCs w:val="18"/>
                <w:shd w:val="clear" w:color="auto" w:fill="auto"/>
              </w:rPr>
            </w:pPr>
          </w:p>
        </w:tc>
        <w:tc>
          <w:tcPr>
            <w:tcW w:w="2441" w:type="dxa"/>
            <w:tcBorders>
              <w:tl2br w:val="nil"/>
              <w:tr2bl w:val="nil"/>
            </w:tcBorders>
            <w:tcMar>
              <w:top w:w="72" w:type="dxa"/>
              <w:left w:w="144" w:type="dxa"/>
              <w:bottom w:w="72" w:type="dxa"/>
              <w:right w:w="144" w:type="dxa"/>
            </w:tcMar>
            <w:vAlign w:val="top"/>
          </w:tcPr>
          <w:p>
            <w:pPr>
              <w:keepNext w:val="0"/>
              <w:keepLines w:val="0"/>
              <w:pageBreakBefore w:val="0"/>
              <w:widowControl/>
              <w:kinsoku/>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宋体"/>
                <w:color w:val="auto"/>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tblCellSpacing w:w="0" w:type="dxa"/>
        </w:trPr>
        <w:tc>
          <w:tcPr>
            <w:tcW w:w="2287" w:type="dxa"/>
            <w:tcBorders>
              <w:tl2br w:val="nil"/>
              <w:tr2bl w:val="nil"/>
            </w:tcBorders>
            <w:tcMar>
              <w:top w:w="72" w:type="dxa"/>
              <w:left w:w="144" w:type="dxa"/>
              <w:bottom w:w="72" w:type="dxa"/>
              <w:right w:w="144"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18"/>
                <w:szCs w:val="18"/>
                <w:shd w:val="clear" w:color="auto" w:fill="auto"/>
              </w:rPr>
            </w:pPr>
            <w:r>
              <w:rPr>
                <w:rFonts w:hint="eastAsia" w:ascii="宋体" w:hAnsi="宋体" w:eastAsia="宋体" w:cs="宋体"/>
                <w:color w:val="auto"/>
                <w:sz w:val="18"/>
                <w:szCs w:val="18"/>
                <w:shd w:val="clear" w:color="auto" w:fill="auto"/>
              </w:rPr>
              <w:t>对照班</w:t>
            </w:r>
          </w:p>
        </w:tc>
        <w:tc>
          <w:tcPr>
            <w:tcW w:w="2843" w:type="dxa"/>
            <w:tcBorders>
              <w:tl2br w:val="nil"/>
              <w:tr2bl w:val="nil"/>
            </w:tcBorders>
            <w:tcMar>
              <w:top w:w="72" w:type="dxa"/>
              <w:left w:w="144" w:type="dxa"/>
              <w:bottom w:w="72" w:type="dxa"/>
              <w:right w:w="144"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18"/>
                <w:szCs w:val="18"/>
                <w:shd w:val="clear" w:color="auto" w:fill="auto"/>
              </w:rPr>
            </w:pPr>
          </w:p>
        </w:tc>
        <w:tc>
          <w:tcPr>
            <w:tcW w:w="2441" w:type="dxa"/>
            <w:tcBorders>
              <w:tl2br w:val="nil"/>
              <w:tr2bl w:val="nil"/>
            </w:tcBorders>
            <w:tcMar>
              <w:top w:w="72" w:type="dxa"/>
              <w:left w:w="144" w:type="dxa"/>
              <w:bottom w:w="72" w:type="dxa"/>
              <w:right w:w="144" w:type="dxa"/>
            </w:tcMar>
            <w:vAlign w:val="top"/>
          </w:tcPr>
          <w:p>
            <w:pPr>
              <w:keepNext w:val="0"/>
              <w:keepLines w:val="0"/>
              <w:pageBreakBefore w:val="0"/>
              <w:widowControl/>
              <w:kinsoku/>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ascii="宋体"/>
                <w:color w:val="auto"/>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tblCellSpacing w:w="0" w:type="dxa"/>
        </w:trPr>
        <w:tc>
          <w:tcPr>
            <w:tcW w:w="2287" w:type="dxa"/>
            <w:tcBorders>
              <w:tl2br w:val="nil"/>
              <w:tr2bl w:val="nil"/>
            </w:tcBorders>
            <w:tcMar>
              <w:top w:w="72" w:type="dxa"/>
              <w:left w:w="144" w:type="dxa"/>
              <w:bottom w:w="72" w:type="dxa"/>
              <w:right w:w="144"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18"/>
                <w:szCs w:val="18"/>
                <w:shd w:val="clear" w:color="auto" w:fill="auto"/>
              </w:rPr>
            </w:pPr>
            <w:r>
              <w:rPr>
                <w:rFonts w:hint="eastAsia" w:ascii="宋体" w:hAnsi="宋体" w:eastAsia="宋体" w:cs="宋体"/>
                <w:color w:val="auto"/>
                <w:sz w:val="18"/>
                <w:szCs w:val="18"/>
                <w:shd w:val="clear" w:color="auto" w:fill="auto"/>
              </w:rPr>
              <w:t>Z值</w:t>
            </w:r>
          </w:p>
        </w:tc>
        <w:tc>
          <w:tcPr>
            <w:tcW w:w="5284" w:type="dxa"/>
            <w:gridSpan w:val="2"/>
            <w:tcBorders>
              <w:tl2br w:val="nil"/>
              <w:tr2bl w:val="nil"/>
            </w:tcBorders>
            <w:tcMar>
              <w:top w:w="72" w:type="dxa"/>
              <w:left w:w="144" w:type="dxa"/>
              <w:bottom w:w="72" w:type="dxa"/>
              <w:right w:w="144"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18"/>
                <w:szCs w:val="18"/>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blCellSpacing w:w="0" w:type="dxa"/>
        </w:trPr>
        <w:tc>
          <w:tcPr>
            <w:tcW w:w="2287" w:type="dxa"/>
            <w:tcBorders>
              <w:tl2br w:val="nil"/>
              <w:tr2bl w:val="nil"/>
            </w:tcBorders>
            <w:tcMar>
              <w:top w:w="72" w:type="dxa"/>
              <w:left w:w="144" w:type="dxa"/>
              <w:bottom w:w="72" w:type="dxa"/>
              <w:right w:w="144"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18"/>
                <w:szCs w:val="18"/>
                <w:shd w:val="clear" w:color="auto" w:fill="auto"/>
              </w:rPr>
            </w:pPr>
            <w:r>
              <w:rPr>
                <w:rFonts w:hint="eastAsia" w:ascii="宋体" w:hAnsi="宋体" w:eastAsia="宋体" w:cs="宋体"/>
                <w:color w:val="auto"/>
                <w:sz w:val="18"/>
                <w:szCs w:val="18"/>
                <w:shd w:val="clear" w:color="auto" w:fill="auto"/>
              </w:rPr>
              <w:t>双尾Z检验统计决断</w:t>
            </w:r>
          </w:p>
        </w:tc>
        <w:tc>
          <w:tcPr>
            <w:tcW w:w="5284" w:type="dxa"/>
            <w:gridSpan w:val="2"/>
            <w:tcBorders>
              <w:tl2br w:val="nil"/>
              <w:tr2bl w:val="nil"/>
            </w:tcBorders>
            <w:tcMar>
              <w:top w:w="72" w:type="dxa"/>
              <w:left w:w="144" w:type="dxa"/>
              <w:bottom w:w="72" w:type="dxa"/>
              <w:right w:w="144" w:type="dxa"/>
            </w:tcMar>
            <w:vAlign w:val="top"/>
          </w:tcPr>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color w:val="auto"/>
                <w:sz w:val="18"/>
                <w:szCs w:val="18"/>
                <w:shd w:val="clear" w:color="auto" w:fill="auto"/>
              </w:rPr>
            </w:pPr>
          </w:p>
        </w:tc>
      </w:tr>
    </w:tbl>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left="0" w:leftChars="0"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（4）生成图表：</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实验班和控制班学科平均成绩对照图</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b/>
          <w:sz w:val="21"/>
          <w:szCs w:val="21"/>
          <w:lang w:val="en-US" w:eastAsia="zh-CN"/>
        </w:rPr>
      </w:pPr>
      <w:r>
        <w:rPr>
          <w:rFonts w:hint="eastAsia" w:ascii="宋体" w:hAnsi="宋体"/>
          <w:b/>
          <w:sz w:val="21"/>
          <w:szCs w:val="21"/>
          <w:lang w:val="en-US" w:eastAsia="zh-CN"/>
        </w:rPr>
        <w:t>2.经验总结法（2019.1--2019.4完成）</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经验总结法是通过对实践活动中</w:t>
      </w:r>
      <w:bookmarkStart w:id="0" w:name="_GoBack"/>
      <w:bookmarkEnd w:id="0"/>
      <w:r>
        <w:rPr>
          <w:rFonts w:hint="eastAsia" w:ascii="宋体" w:hAnsi="宋体"/>
          <w:sz w:val="21"/>
          <w:szCs w:val="21"/>
          <w:lang w:val="en-US" w:eastAsia="zh-CN"/>
        </w:rPr>
        <w:t>的具体情况，进行归纳与分析，使之系统化、理论化，上升为经验的一种方法。</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实验研究效果评价总结：</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（1）实验的内部效度 </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（2）实验的外部效度 </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exact"/>
        <w:ind w:right="0" w:rightChars="0" w:firstLine="420" w:firstLineChars="200"/>
        <w:jc w:val="left"/>
        <w:textAlignment w:val="auto"/>
        <w:outlineLvl w:val="9"/>
        <w:rPr>
          <w:rFonts w:hint="eastAsia" w:ascii="宋体" w:hAnsi="宋体" w:cs="Tahoma"/>
          <w:b/>
          <w:bCs/>
          <w:color w:val="000000"/>
          <w:kern w:val="0"/>
          <w:sz w:val="21"/>
          <w:szCs w:val="21"/>
          <w:lang w:val="en-US" w:eastAsia="zh-CN"/>
        </w:rPr>
      </w:pPr>
      <w:r>
        <w:rPr>
          <w:rFonts w:hint="eastAsia" w:ascii="宋体" w:hAnsi="宋体"/>
          <w:sz w:val="21"/>
          <w:szCs w:val="21"/>
          <w:lang w:val="en-US" w:eastAsia="zh-CN"/>
        </w:rPr>
        <w:t>（3）典型图表效果评价</w:t>
      </w:r>
    </w:p>
    <w:p>
      <w:pPr>
        <w:keepNext w:val="0"/>
        <w:keepLines w:val="0"/>
        <w:pageBreakBefore w:val="0"/>
        <w:widowControl/>
        <w:shd w:val="clear" w:color="auto" w:fill="FFFFFF"/>
        <w:kinsoku/>
        <w:wordWrap w:val="0"/>
        <w:overflowPunct/>
        <w:topLinePunct w:val="0"/>
        <w:autoSpaceDE/>
        <w:autoSpaceDN/>
        <w:bidi w:val="0"/>
        <w:adjustRightInd/>
        <w:snapToGrid/>
        <w:spacing w:before="157" w:beforeLines="50" w:after="157" w:afterLines="50" w:line="360" w:lineRule="exact"/>
        <w:ind w:left="0" w:leftChars="0" w:right="0" w:rightChars="0" w:firstLine="420" w:firstLineChars="0"/>
        <w:jc w:val="left"/>
        <w:textAlignment w:val="auto"/>
        <w:outlineLvl w:val="9"/>
        <w:rPr>
          <w:rFonts w:hint="eastAsia" w:ascii="宋体" w:hAnsi="宋体" w:cs="Tahoma"/>
          <w:b/>
          <w:bCs/>
          <w:color w:val="000000"/>
          <w:kern w:val="0"/>
          <w:szCs w:val="21"/>
          <w:lang w:val="en-US" w:eastAsia="zh-CN"/>
        </w:rPr>
      </w:pPr>
      <w:r>
        <w:rPr>
          <w:rFonts w:hint="eastAsia" w:ascii="宋体" w:hAnsi="宋体" w:cs="Tahoma"/>
          <w:b/>
          <w:bCs/>
          <w:color w:val="000000"/>
          <w:kern w:val="0"/>
          <w:szCs w:val="21"/>
          <w:lang w:val="en-US" w:eastAsia="zh-CN"/>
        </w:rPr>
        <w:t>五、可预期成果</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我们今后将进一步探究把提升学生核心素养作为学科的教学目标，对教学模式进行必要的调整，网络学习空间的资源还要进一步丰富、修改、变化，使其运用更趋于常态化，从而形成一个动态的过程。同时信息技术手段的应用要更加深入，与学科更加深度融合。后期，我们将着重研究基于信息技术及网络环境下的课堂教学的创新模式，为教育教学的不断发展提供更有价值的经验参考。具体措施：</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1.继续抓好理论学习,树立正确的教学观念。</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2.加强集体教研的力度。精心设计每一节课，互相交流课题实施过程中的教学点滴，交流经验，解决疑惑。</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3.通过加强听课和评课，更深入地研究网络学习空间对学生核心素养提升的意义。比如，课题组成员做课题研究课后，听课的每位教师可以从教学环节、教学过程、师生地位角色、学生学习方式、参与达成状态、课堂效果等诸多方面进行更为细致的评课。</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cs="Tahoma"/>
          <w:color w:val="000000"/>
          <w:kern w:val="0"/>
          <w:sz w:val="21"/>
          <w:szCs w:val="21"/>
          <w:lang w:val="en-US" w:eastAsia="zh-CN"/>
        </w:rPr>
      </w:pPr>
      <w:r>
        <w:rPr>
          <w:rFonts w:hint="eastAsia" w:ascii="宋体" w:hAnsi="宋体" w:cs="Tahoma"/>
          <w:color w:val="000000"/>
          <w:kern w:val="0"/>
          <w:sz w:val="21"/>
          <w:szCs w:val="21"/>
          <w:lang w:val="en-US" w:eastAsia="zh-CN"/>
        </w:rPr>
        <w:t>4.继续深入系统地开展课题研究，优化网络空间学习，探究切实可行的评价方式，有效推进实施，力争后期获得更丰富的课题成果。</w:t>
      </w:r>
    </w:p>
    <w:p>
      <w:pPr>
        <w:keepNext w:val="0"/>
        <w:keepLines w:val="0"/>
        <w:pageBreakBefore w:val="0"/>
        <w:widowControl/>
        <w:shd w:val="clear" w:color="auto" w:fill="FFFFFF"/>
        <w:kinsoku/>
        <w:wordWrap w:val="0"/>
        <w:overflowPunct/>
        <w:topLinePunct w:val="0"/>
        <w:autoSpaceDE/>
        <w:autoSpaceDN/>
        <w:bidi w:val="0"/>
        <w:adjustRightInd/>
        <w:snapToGrid/>
        <w:spacing w:line="360" w:lineRule="exact"/>
        <w:ind w:left="0" w:leftChars="0" w:right="0" w:rightChars="0" w:firstLine="420" w:firstLineChars="0"/>
        <w:jc w:val="left"/>
        <w:textAlignment w:val="auto"/>
        <w:outlineLvl w:val="9"/>
        <w:rPr>
          <w:rFonts w:hint="eastAsia" w:ascii="宋体" w:hAnsi="宋体"/>
          <w:sz w:val="24"/>
          <w:szCs w:val="24"/>
          <w:lang w:val="en-US" w:eastAsia="zh-CN"/>
        </w:rPr>
      </w:pPr>
      <w:r>
        <w:rPr>
          <w:rFonts w:hint="eastAsia" w:ascii="宋体" w:hAnsi="宋体" w:cs="Tahoma"/>
          <w:color w:val="000000"/>
          <w:kern w:val="0"/>
          <w:sz w:val="21"/>
          <w:szCs w:val="21"/>
          <w:lang w:val="en-US" w:eastAsia="zh-CN"/>
        </w:rPr>
        <w:t>5. 合理设计调整调查问卷，探讨 “项目——问题——导学”的教学模式、“自主探究——小组合作——评价中修正——练习中巩固——拓展中创新”的教学策略在各学科课堂、课后的学习效果、知识建构能力、问题解决能力、思维创新能力的提高等方面的优势，分析对学生的学习兴趣、问题意识、创新意识等方面的影响，以全面提升学生的核心素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_x000B__x000C_">
    <w:altName w:val="Times New Roman"/>
    <w:panose1 w:val="00000000000000000000"/>
    <w:charset w:val="00"/>
    <w:family w:val="decorative"/>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_x000B__x000C_">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decorative"/>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_x000B__x000C_">
    <w:altName w:val="Times New Roman"/>
    <w:panose1 w:val="00000000000000000000"/>
    <w:charset w:val="00"/>
    <w:family w:val="swiss"/>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0191186">
    <w:nsid w:val="540DCF52"/>
    <w:multiLevelType w:val="singleLevel"/>
    <w:tmpl w:val="540DCF52"/>
    <w:lvl w:ilvl="0" w:tentative="1">
      <w:start w:val="1"/>
      <w:numFmt w:val="bullet"/>
      <w:lvlText w:val=""/>
      <w:lvlJc w:val="left"/>
      <w:pPr>
        <w:ind w:left="420" w:hanging="420"/>
      </w:pPr>
      <w:rPr>
        <w:rFonts w:hint="default" w:ascii="Wingdings" w:hAnsi="Wingdings"/>
      </w:rPr>
    </w:lvl>
  </w:abstractNum>
  <w:abstractNum w:abstractNumId="924282740">
    <w:nsid w:val="37176F74"/>
    <w:multiLevelType w:val="singleLevel"/>
    <w:tmpl w:val="37176F74"/>
    <w:lvl w:ilvl="0" w:tentative="1">
      <w:start w:val="1"/>
      <w:numFmt w:val="bullet"/>
      <w:lvlText w:val=""/>
      <w:lvlJc w:val="left"/>
      <w:pPr>
        <w:ind w:left="420" w:hanging="420"/>
      </w:pPr>
      <w:rPr>
        <w:rFonts w:hint="default" w:ascii="Wingdings" w:hAnsi="Wingdings"/>
      </w:rPr>
    </w:lvl>
  </w:abstractNum>
  <w:abstractNum w:abstractNumId="1421957155">
    <w:nsid w:val="54C15823"/>
    <w:multiLevelType w:val="singleLevel"/>
    <w:tmpl w:val="54C15823"/>
    <w:lvl w:ilvl="0" w:tentative="1">
      <w:start w:val="1"/>
      <w:numFmt w:val="bullet"/>
      <w:lvlText w:val=""/>
      <w:lvlJc w:val="left"/>
      <w:pPr>
        <w:ind w:left="420" w:hanging="420"/>
      </w:pPr>
      <w:rPr>
        <w:rFonts w:hint="default" w:ascii="Wingdings" w:hAnsi="Wingdings"/>
      </w:rPr>
    </w:lvl>
  </w:abstractNum>
  <w:abstractNum w:abstractNumId="2553988282">
    <w:nsid w:val="983AC4BA"/>
    <w:multiLevelType w:val="singleLevel"/>
    <w:tmpl w:val="983AC4BA"/>
    <w:lvl w:ilvl="0" w:tentative="1">
      <w:start w:val="1"/>
      <w:numFmt w:val="bullet"/>
      <w:lvlText w:val=""/>
      <w:lvlJc w:val="left"/>
      <w:pPr>
        <w:ind w:left="420" w:hanging="420"/>
      </w:pPr>
      <w:rPr>
        <w:rFonts w:hint="default" w:ascii="Wingdings" w:hAnsi="Wingdings"/>
      </w:rPr>
    </w:lvl>
  </w:abstractNum>
  <w:num w:numId="1">
    <w:abstractNumId w:val="1421957155"/>
  </w:num>
  <w:num w:numId="2">
    <w:abstractNumId w:val="924282740"/>
  </w:num>
  <w:num w:numId="3">
    <w:abstractNumId w:val="1410191186"/>
  </w:num>
  <w:num w:numId="4">
    <w:abstractNumId w:val="25539882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D2877"/>
    <w:rsid w:val="09FD2877"/>
    <w:rsid w:val="17E8056C"/>
    <w:rsid w:val="3CC44D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2018-12-12T02:37:00Z</dcterms:created>
  <dc:creator>三审</dc:creator>
  <cp:lastModifiedBy>三审</cp:lastModifiedBy>
  <dcterms:modified xsi:type="dcterms:W3CDTF">2018-12-12T06:33:18Z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