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982" w:tblpY="4865"/>
        <w:tblOverlap w:val="never"/>
        <w:tblW w:w="10540" w:type="dxa"/>
        <w:tblInd w:w="0" w:type="dxa"/>
        <w:shd w:val="clear" w:color="auto" w:fill="FFFFFF"/>
        <w:tblLayout w:type="fixed"/>
        <w:tblCellMar>
          <w:top w:w="15" w:type="dxa"/>
          <w:left w:w="15" w:type="dxa"/>
          <w:bottom w:w="15" w:type="dxa"/>
          <w:right w:w="15" w:type="dxa"/>
        </w:tblCellMar>
      </w:tblPr>
      <w:tblGrid>
        <w:gridCol w:w="10540"/>
      </w:tblGrid>
      <w:tr>
        <w:tblPrEx>
          <w:shd w:val="clear" w:color="auto" w:fill="FFFFFF"/>
          <w:tblLayout w:type="fixed"/>
          <w:tblCellMar>
            <w:top w:w="15" w:type="dxa"/>
            <w:left w:w="15" w:type="dxa"/>
            <w:bottom w:w="15" w:type="dxa"/>
            <w:right w:w="15" w:type="dxa"/>
          </w:tblCellMar>
        </w:tblPrEx>
        <w:trPr>
          <w:trHeight w:val="8603" w:hRule="atLeast"/>
        </w:trPr>
        <w:tc>
          <w:tcPr>
            <w:tcW w:w="10540" w:type="dxa"/>
            <w:shd w:val="clear" w:color="auto" w:fill="FFFFFF"/>
            <w:tcMar>
              <w:top w:w="0" w:type="dxa"/>
              <w:left w:w="108" w:type="dxa"/>
              <w:bottom w:w="0" w:type="dxa"/>
              <w:right w:w="108" w:type="dxa"/>
            </w:tcMar>
          </w:tcPr>
          <w:p>
            <w:pPr>
              <w:widowControl/>
              <w:wordWrap w:val="0"/>
              <w:jc w:val="left"/>
              <w:rPr>
                <w:rFonts w:hint="eastAsia" w:ascii="宋体" w:hAnsi="宋体" w:eastAsia="宋体" w:cs="宋体"/>
                <w:color w:val="444444"/>
                <w:kern w:val="0"/>
                <w:sz w:val="24"/>
              </w:rPr>
            </w:pP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r>
              <w:rPr>
                <w:rFonts w:hint="eastAsia" w:ascii="宋体" w:hAnsi="宋体" w:eastAsia="宋体" w:cs="宋体"/>
                <w:color w:val="444444"/>
                <w:kern w:val="0"/>
                <w:sz w:val="24"/>
              </w:rPr>
              <w:br w:type="textWrapping"/>
            </w:r>
          </w:p>
          <w:tbl>
            <w:tblPr>
              <w:tblStyle w:val="9"/>
              <w:tblW w:w="10361" w:type="dxa"/>
              <w:tblInd w:w="0" w:type="dxa"/>
              <w:tblLayout w:type="fixed"/>
              <w:tblCellMar>
                <w:top w:w="15" w:type="dxa"/>
                <w:left w:w="15" w:type="dxa"/>
                <w:bottom w:w="15" w:type="dxa"/>
                <w:right w:w="15" w:type="dxa"/>
              </w:tblCellMar>
            </w:tblPr>
            <w:tblGrid>
              <w:gridCol w:w="3428"/>
              <w:gridCol w:w="6933"/>
            </w:tblGrid>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课题名称：</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小学语文“微课教学模式”的设计与应用研究</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学科分类：</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信息技术</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课题类别：</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专项课题</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课 题 负 责 人：</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杨颖</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负责人所在单位：</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天津市东丽区李明庄学校</w:t>
                  </w:r>
                </w:p>
              </w:tc>
            </w:tr>
            <w:tr>
              <w:tblPrEx>
                <w:tblLayout w:type="fixed"/>
                <w:tblCellMar>
                  <w:top w:w="15" w:type="dxa"/>
                  <w:left w:w="15" w:type="dxa"/>
                  <w:bottom w:w="15" w:type="dxa"/>
                  <w:right w:w="15" w:type="dxa"/>
                </w:tblCellMar>
              </w:tblPrEx>
              <w:tc>
                <w:tcPr>
                  <w:tcW w:w="3428"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33"/>
                      <w:szCs w:val="33"/>
                    </w:rPr>
                  </w:pPr>
                  <w:r>
                    <w:rPr>
                      <w:rFonts w:ascii="宋体" w:hAnsi="宋体" w:eastAsia="宋体" w:cs="宋体"/>
                      <w:kern w:val="0"/>
                      <w:sz w:val="33"/>
                      <w:szCs w:val="33"/>
                    </w:rPr>
                    <w:t>填表日期：</w:t>
                  </w:r>
                </w:p>
              </w:tc>
              <w:tc>
                <w:tcPr>
                  <w:tcW w:w="6933" w:type="dxa"/>
                  <w:shd w:val="clear" w:color="auto" w:fill="auto"/>
                  <w:tcMar>
                    <w:top w:w="0" w:type="dxa"/>
                    <w:left w:w="0" w:type="dxa"/>
                    <w:bottom w:w="200" w:type="dxa"/>
                    <w:right w:w="0" w:type="dxa"/>
                  </w:tcMar>
                </w:tcPr>
                <w:p>
                  <w:pPr>
                    <w:widowControl/>
                    <w:wordWrap w:val="0"/>
                    <w:jc w:val="left"/>
                    <w:rPr>
                      <w:rFonts w:ascii="宋体" w:hAnsi="宋体" w:eastAsia="宋体" w:cs="宋体"/>
                      <w:kern w:val="0"/>
                      <w:sz w:val="24"/>
                    </w:rPr>
                  </w:pPr>
                  <w:r>
                    <w:rPr>
                      <w:rFonts w:ascii="宋体" w:hAnsi="宋体" w:eastAsia="宋体" w:cs="宋体"/>
                      <w:kern w:val="0"/>
                      <w:sz w:val="41"/>
                    </w:rPr>
                    <w:t>2017-12-19</w:t>
                  </w:r>
                </w:p>
              </w:tc>
            </w:tr>
          </w:tbl>
          <w:p>
            <w:pPr>
              <w:widowControl/>
              <w:wordWrap w:val="0"/>
              <w:jc w:val="left"/>
              <w:rPr>
                <w:rFonts w:ascii="宋体" w:hAnsi="宋体" w:eastAsia="宋体" w:cs="宋体"/>
                <w:color w:val="444444"/>
                <w:kern w:val="0"/>
                <w:sz w:val="24"/>
              </w:rPr>
            </w:pPr>
          </w:p>
        </w:tc>
      </w:tr>
    </w:tbl>
    <w:p>
      <w:pPr>
        <w:widowControl/>
        <w:shd w:val="clear" w:color="auto" w:fill="FFFFFF"/>
        <w:jc w:val="center"/>
        <w:outlineLvl w:val="1"/>
        <w:rPr>
          <w:rFonts w:ascii="宋体" w:hAnsi="宋体" w:eastAsia="宋体" w:cs="宋体"/>
          <w:b/>
          <w:bCs/>
          <w:color w:val="444444"/>
          <w:kern w:val="0"/>
          <w:sz w:val="72"/>
          <w:szCs w:val="72"/>
        </w:rPr>
      </w:pPr>
      <w:r>
        <w:rPr>
          <w:rFonts w:hint="eastAsia" w:ascii="宋体" w:hAnsi="宋体" w:eastAsia="宋体" w:cs="宋体"/>
          <w:b/>
          <w:bCs/>
          <w:color w:val="444444"/>
          <w:kern w:val="0"/>
          <w:sz w:val="72"/>
          <w:szCs w:val="72"/>
        </w:rPr>
        <w:t>东丽区“十三五”教育信息技术研究课题</w:t>
      </w:r>
    </w:p>
    <w:p>
      <w:pPr>
        <w:widowControl/>
        <w:shd w:val="clear" w:color="auto" w:fill="FFFFFF"/>
        <w:jc w:val="center"/>
        <w:outlineLvl w:val="0"/>
        <w:rPr>
          <w:rFonts w:hint="eastAsia" w:ascii="宋体" w:hAnsi="宋体" w:eastAsia="宋体" w:cs="宋体"/>
          <w:b/>
          <w:bCs/>
          <w:color w:val="444444"/>
          <w:kern w:val="36"/>
          <w:sz w:val="67"/>
          <w:szCs w:val="67"/>
        </w:rPr>
      </w:pPr>
      <w:r>
        <w:rPr>
          <w:rFonts w:hint="eastAsia"/>
          <w:b/>
          <w:bCs/>
          <w:sz w:val="36"/>
          <w:szCs w:val="36"/>
        </w:rPr>
        <w:t xml:space="preserve">   </w:t>
      </w:r>
      <w:r>
        <w:rPr>
          <w:rFonts w:hint="eastAsia" w:ascii="宋体" w:hAnsi="宋体" w:eastAsia="宋体" w:cs="宋体"/>
          <w:b/>
          <w:bCs/>
          <w:color w:val="444444"/>
          <w:kern w:val="36"/>
          <w:sz w:val="67"/>
          <w:szCs w:val="67"/>
        </w:rPr>
        <w:t>开题报告</w:t>
      </w:r>
    </w:p>
    <w:p>
      <w:pPr>
        <w:spacing w:line="440" w:lineRule="exact"/>
        <w:rPr>
          <w:rFonts w:hint="eastAsia"/>
          <w:b/>
          <w:bCs/>
          <w:sz w:val="36"/>
          <w:szCs w:val="36"/>
        </w:rPr>
      </w:pPr>
    </w:p>
    <w:p>
      <w:pPr>
        <w:spacing w:line="440" w:lineRule="exact"/>
        <w:rPr>
          <w:rFonts w:hint="eastAsia"/>
          <w:b/>
          <w:bCs/>
          <w:sz w:val="36"/>
          <w:szCs w:val="36"/>
        </w:rPr>
      </w:pPr>
    </w:p>
    <w:p>
      <w:pPr>
        <w:spacing w:line="440" w:lineRule="exact"/>
        <w:rPr>
          <w:rFonts w:hint="eastAsia"/>
          <w:b/>
          <w:bCs/>
          <w:sz w:val="36"/>
          <w:szCs w:val="36"/>
        </w:rPr>
      </w:pPr>
    </w:p>
    <w:p>
      <w:pPr>
        <w:spacing w:line="440" w:lineRule="exact"/>
        <w:rPr>
          <w:rFonts w:hint="eastAsia"/>
          <w:b/>
          <w:bCs/>
          <w:sz w:val="36"/>
          <w:szCs w:val="36"/>
        </w:rPr>
      </w:pPr>
    </w:p>
    <w:p>
      <w:pPr>
        <w:spacing w:line="440" w:lineRule="exact"/>
        <w:rPr>
          <w:rFonts w:hint="eastAsia"/>
          <w:b/>
          <w:bCs/>
          <w:sz w:val="36"/>
          <w:szCs w:val="36"/>
        </w:rPr>
      </w:pPr>
    </w:p>
    <w:p>
      <w:pPr>
        <w:spacing w:line="440" w:lineRule="exact"/>
        <w:jc w:val="center"/>
        <w:rPr>
          <w:rFonts w:hint="eastAsia"/>
          <w:b/>
          <w:bCs/>
          <w:sz w:val="36"/>
          <w:szCs w:val="36"/>
        </w:rPr>
      </w:pPr>
      <w:bookmarkStart w:id="0" w:name="_GoBack"/>
      <w:bookmarkEnd w:id="0"/>
      <w:r>
        <w:rPr>
          <w:rFonts w:hint="eastAsia"/>
          <w:b/>
          <w:bCs/>
          <w:sz w:val="36"/>
          <w:szCs w:val="36"/>
        </w:rPr>
        <w:t>小学语文“微课教学模式”的设计与应用研究</w:t>
      </w:r>
    </w:p>
    <w:p>
      <w:pPr>
        <w:spacing w:line="360" w:lineRule="auto"/>
        <w:rPr>
          <w:rFonts w:cs="宋体" w:asciiTheme="minorEastAsia" w:hAnsiTheme="minorEastAsia"/>
          <w:b/>
          <w:bCs/>
          <w:sz w:val="28"/>
          <w:szCs w:val="28"/>
        </w:rPr>
      </w:pPr>
      <w:r>
        <w:rPr>
          <w:rFonts w:hint="eastAsia" w:cs="宋体" w:asciiTheme="minorEastAsia" w:hAnsiTheme="minorEastAsia"/>
          <w:b/>
          <w:bCs/>
          <w:sz w:val="28"/>
          <w:szCs w:val="28"/>
        </w:rPr>
        <w:t>一、研究背景</w:t>
      </w:r>
    </w:p>
    <w:p>
      <w:pPr>
        <w:spacing w:line="360" w:lineRule="auto"/>
        <w:ind w:firstLine="549" w:firstLineChars="196"/>
        <w:rPr>
          <w:rFonts w:asciiTheme="minorEastAsia" w:hAnsiTheme="minorEastAsia"/>
          <w:sz w:val="28"/>
          <w:szCs w:val="28"/>
        </w:rPr>
      </w:pPr>
      <w:r>
        <w:rPr>
          <w:rFonts w:hint="eastAsia" w:asciiTheme="minorEastAsia" w:hAnsiTheme="minorEastAsia"/>
          <w:sz w:val="28"/>
          <w:szCs w:val="28"/>
        </w:rPr>
        <w:t>1、研究主题的意义</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微课以微视频为核心，微教案、微课件、微练习是教师提供的相对静态型的技术化资源；微反思、微点评、微反馈是微课在组织微课教学活动和应用过程中动态生成的智慧型资源。对微课教学模式的研究有助于提高学生的学习兴趣以及教师的校本课程开发的能力，对于提升课堂教学的有效性具有重要意义。</w:t>
      </w:r>
    </w:p>
    <w:p>
      <w:pPr>
        <w:spacing w:line="360" w:lineRule="auto"/>
        <w:rPr>
          <w:rFonts w:asciiTheme="minorEastAsia" w:hAnsiTheme="minorEastAsia"/>
          <w:sz w:val="28"/>
          <w:szCs w:val="28"/>
        </w:rPr>
      </w:pPr>
      <w:r>
        <w:rPr>
          <w:rFonts w:hint="eastAsia" w:asciiTheme="minorEastAsia" w:hAnsiTheme="minorEastAsia"/>
          <w:sz w:val="28"/>
          <w:szCs w:val="28"/>
        </w:rPr>
        <w:t xml:space="preserve">   2、文献研究综述</w:t>
      </w:r>
    </w:p>
    <w:p>
      <w:pPr>
        <w:spacing w:line="360" w:lineRule="auto"/>
        <w:ind w:firstLine="560"/>
        <w:rPr>
          <w:rFonts w:asciiTheme="minorEastAsia" w:hAnsiTheme="minorEastAsia"/>
          <w:sz w:val="28"/>
          <w:szCs w:val="28"/>
        </w:rPr>
      </w:pPr>
      <w:r>
        <w:rPr>
          <w:rFonts w:hint="eastAsia" w:asciiTheme="minorEastAsia" w:hAnsiTheme="minorEastAsia"/>
          <w:sz w:val="28"/>
          <w:szCs w:val="28"/>
        </w:rPr>
        <w:t>国外是从可汗学院的兴起才提出微课的，伴随着翻转课堂的教学模式的流行而大热，进而传到国内。尤其是当我国越来越注重信息技术在教学中的应用时，微课就以其短小精悍、授课形式丰富多样等特点逐渐受到广大教育工作者的关注。较传统课程来说它的内容精简、针对性强，呈现教师在教育教学过程中围绕某个知识点或突破某一个教学问题而开展的教学活动。</w:t>
      </w:r>
    </w:p>
    <w:p>
      <w:pPr>
        <w:spacing w:line="360" w:lineRule="auto"/>
        <w:ind w:firstLine="560"/>
        <w:rPr>
          <w:rFonts w:asciiTheme="minorEastAsia" w:hAnsiTheme="minorEastAsia"/>
          <w:sz w:val="28"/>
          <w:szCs w:val="28"/>
        </w:rPr>
      </w:pPr>
      <w:r>
        <w:rPr>
          <w:rFonts w:hint="eastAsia" w:asciiTheme="minorEastAsia" w:hAnsiTheme="minorEastAsia"/>
          <w:sz w:val="28"/>
          <w:szCs w:val="28"/>
        </w:rPr>
        <w:t>我区电教中心每年都会举行“教师信息技术能力提升”培训。从前Flash到电子白板，再到微课制作，老师们对技术都不陌生。在培训之余，教师反馈也发现微课制作也是一个反思的过程，在不断地反思中，教师能够不断地成长。同时微课也便于传播，教师间可以相互学习好的经验方法。优秀教师有许多好的经验，过去没有恰当的办法总结、传播，而微课恰好提供了一个很好的方式，固化经验，传播方法，同时也为学生提供了另一种学习途径。只是目前，由于教师的工作强度，以及地处东丽区偏远农村校，学生家庭条件的限制，以及其他各方面的原因，并没有很好的应用在课堂上。</w:t>
      </w:r>
    </w:p>
    <w:p>
      <w:pPr>
        <w:spacing w:line="360" w:lineRule="auto"/>
        <w:ind w:firstLine="560"/>
        <w:rPr>
          <w:rFonts w:asciiTheme="minorEastAsia" w:hAnsiTheme="minorEastAsia"/>
          <w:sz w:val="28"/>
          <w:szCs w:val="28"/>
        </w:rPr>
      </w:pPr>
      <w:r>
        <w:rPr>
          <w:rFonts w:hint="eastAsia" w:asciiTheme="minorEastAsia" w:hAnsiTheme="minorEastAsia"/>
          <w:sz w:val="28"/>
          <w:szCs w:val="28"/>
        </w:rPr>
        <w:t>近年来，东丽区教育局推进数字化校园工程，依托现代化达标建设，为学校投入大量资金设备。学校积极建设“三通两平台”，实现优质资源班班通，校校通，着力打造人人通。这为微课教学开展，提供良好平台。</w:t>
      </w:r>
    </w:p>
    <w:p>
      <w:pPr>
        <w:spacing w:line="360" w:lineRule="auto"/>
        <w:rPr>
          <w:rFonts w:asciiTheme="minorEastAsia" w:hAnsiTheme="minorEastAsia"/>
          <w:b/>
          <w:bCs/>
          <w:sz w:val="28"/>
          <w:szCs w:val="28"/>
        </w:rPr>
      </w:pPr>
      <w:r>
        <w:rPr>
          <w:rFonts w:hint="eastAsia" w:asciiTheme="minorEastAsia" w:hAnsiTheme="minorEastAsia"/>
          <w:b/>
          <w:bCs/>
          <w:sz w:val="28"/>
          <w:szCs w:val="28"/>
        </w:rPr>
        <w:t>二、主要概念的界定</w:t>
      </w:r>
    </w:p>
    <w:p>
      <w:pPr>
        <w:spacing w:line="360" w:lineRule="auto"/>
        <w:ind w:firstLine="412" w:firstLineChars="147"/>
        <w:rPr>
          <w:rFonts w:asciiTheme="minorEastAsia" w:hAnsiTheme="minorEastAsia"/>
          <w:b/>
          <w:bCs/>
          <w:sz w:val="28"/>
          <w:szCs w:val="28"/>
        </w:rPr>
      </w:pPr>
      <w:r>
        <w:rPr>
          <w:rFonts w:hint="eastAsia" w:asciiTheme="minorEastAsia" w:hAnsiTheme="minorEastAsia"/>
          <w:sz w:val="28"/>
          <w:szCs w:val="28"/>
        </w:rPr>
        <w:t>“微课”又名微型课程，最早由美国新墨西哥州圣胡安学院David Penrose首创，是指以视频为主要载体，记录教师在课堂内外教育教学过程中围绕某个知识点或教学环节而开展的精彩教与学活动全过程。</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微课教学模式”是在教学大纲的引导下，以“微教学”为主要驱动力，以课程重难点为中心，以师生高度互动教学为特征的一种新的教学模式。微课教学的核心内容是“微视频”，同时还包含与该教学主题相关的教学设计、素材课件、教学反思、练习测试及学生反馈、教师点评等辅助等教学资源，它们以一定的组织关系和呈现方式共同“营造”了一个半结构化、主题式的资源单元应用“小环境”。</w:t>
      </w:r>
    </w:p>
    <w:p>
      <w:pPr>
        <w:spacing w:line="360" w:lineRule="auto"/>
        <w:rPr>
          <w:rFonts w:asciiTheme="minorEastAsia" w:hAnsiTheme="minorEastAsia"/>
          <w:b/>
          <w:bCs/>
          <w:sz w:val="28"/>
          <w:szCs w:val="28"/>
        </w:rPr>
      </w:pPr>
      <w:r>
        <w:rPr>
          <w:rFonts w:cs="Arial" w:asciiTheme="minorEastAsia" w:hAnsiTheme="minorEastAsia"/>
          <w:color w:val="333333"/>
          <w:sz w:val="28"/>
          <w:szCs w:val="28"/>
          <w:shd w:val="clear" w:color="auto" w:fill="FFFFFF"/>
        </w:rPr>
        <w:t>班班通是指学校每个班级里具备与外界进行不同层次的信息沟通、信息化资源获取与利用、终端信息显示的软硬件环境，实现信息技术与学科日常教学的有效整合，促进教师教学方式和学生学习方式的变革，最终促进学生的发展。</w:t>
      </w:r>
    </w:p>
    <w:p>
      <w:pPr>
        <w:spacing w:line="360" w:lineRule="auto"/>
        <w:rPr>
          <w:rFonts w:asciiTheme="minorEastAsia" w:hAnsiTheme="minorEastAsia"/>
          <w:b/>
          <w:bCs/>
          <w:sz w:val="28"/>
          <w:szCs w:val="28"/>
        </w:rPr>
      </w:pPr>
      <w:r>
        <w:rPr>
          <w:rFonts w:hint="eastAsia" w:asciiTheme="minorEastAsia" w:hAnsiTheme="minorEastAsia"/>
          <w:b/>
          <w:bCs/>
          <w:sz w:val="28"/>
          <w:szCs w:val="28"/>
        </w:rPr>
        <w:t>三、研究目标</w:t>
      </w:r>
    </w:p>
    <w:p>
      <w:pPr>
        <w:spacing w:line="360" w:lineRule="auto"/>
        <w:rPr>
          <w:rFonts w:asciiTheme="minorEastAsia" w:hAnsiTheme="minorEastAsia"/>
          <w:sz w:val="28"/>
          <w:szCs w:val="28"/>
        </w:rPr>
      </w:pPr>
      <w:r>
        <w:rPr>
          <w:rFonts w:hint="eastAsia" w:asciiTheme="minorEastAsia" w:hAnsiTheme="minorEastAsia"/>
          <w:sz w:val="28"/>
          <w:szCs w:val="28"/>
        </w:rPr>
        <w:t xml:space="preserve">    本课题研究结合小学语文教材的特点，从微课的特点、应用出发，进行微课在小学语文教学中有效运用的案例研究，期望通过本课题的研究，达到这样的目标：</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（1）充分利用网络资源平台，借助班班通，通过微课在语文教学中的有效运用，提高学生的语文学习效率以及自主学习的能力，改变学习方式。</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（2）提高教师专业素养，微课制作的水平，建立小学语文微课资源库，实现微课的共享。</w:t>
      </w:r>
    </w:p>
    <w:p>
      <w:pPr>
        <w:spacing w:line="360" w:lineRule="auto"/>
        <w:rPr>
          <w:rFonts w:asciiTheme="minorEastAsia" w:hAnsiTheme="minorEastAsia"/>
          <w:b/>
          <w:bCs/>
          <w:sz w:val="28"/>
          <w:szCs w:val="28"/>
        </w:rPr>
      </w:pPr>
      <w:r>
        <w:rPr>
          <w:rFonts w:hint="eastAsia" w:asciiTheme="minorEastAsia" w:hAnsiTheme="minorEastAsia"/>
          <w:b/>
          <w:bCs/>
          <w:sz w:val="28"/>
          <w:szCs w:val="28"/>
        </w:rPr>
        <w:t>四、研究内容</w:t>
      </w:r>
    </w:p>
    <w:p>
      <w:pPr>
        <w:pStyle w:val="7"/>
        <w:shd w:val="clear" w:color="auto" w:fill="FFFFFF"/>
        <w:spacing w:line="360" w:lineRule="auto"/>
        <w:rPr>
          <w:rFonts w:cs="宋体" w:asciiTheme="minorEastAsia" w:hAnsiTheme="minorEastAsia"/>
          <w:color w:val="444444"/>
          <w:kern w:val="0"/>
          <w:sz w:val="28"/>
          <w:szCs w:val="28"/>
        </w:rPr>
      </w:pPr>
      <w:r>
        <w:rPr>
          <w:rFonts w:hint="eastAsia" w:cs="宋体" w:asciiTheme="minorEastAsia" w:hAnsiTheme="minorEastAsia"/>
          <w:color w:val="444444"/>
          <w:kern w:val="0"/>
          <w:sz w:val="28"/>
          <w:szCs w:val="28"/>
        </w:rPr>
        <w:t>（1）学生对于重要知识点的学习情况及自主学习能力的研究。</w:t>
      </w:r>
    </w:p>
    <w:p>
      <w:pPr>
        <w:widowControl/>
        <w:shd w:val="clear" w:color="auto" w:fill="FFFFFF"/>
        <w:spacing w:line="360" w:lineRule="auto"/>
        <w:jc w:val="left"/>
        <w:rPr>
          <w:rFonts w:cs="宋体" w:asciiTheme="minorEastAsia" w:hAnsiTheme="minorEastAsia"/>
          <w:color w:val="444444"/>
          <w:kern w:val="0"/>
          <w:sz w:val="28"/>
          <w:szCs w:val="28"/>
        </w:rPr>
      </w:pPr>
      <w:r>
        <w:rPr>
          <w:rFonts w:hint="eastAsia" w:cs="宋体" w:asciiTheme="minorEastAsia" w:hAnsiTheme="minorEastAsia"/>
          <w:color w:val="444444"/>
          <w:kern w:val="0"/>
          <w:sz w:val="28"/>
          <w:szCs w:val="28"/>
        </w:rPr>
        <w:t> （2）根据学生学情和课文类型的不同设计制作相应的微课方案。</w:t>
      </w:r>
    </w:p>
    <w:p>
      <w:pPr>
        <w:widowControl/>
        <w:shd w:val="clear" w:color="auto" w:fill="FFFFFF"/>
        <w:spacing w:line="360" w:lineRule="auto"/>
        <w:jc w:val="left"/>
        <w:rPr>
          <w:rFonts w:cs="宋体" w:asciiTheme="minorEastAsia" w:hAnsiTheme="minorEastAsia"/>
          <w:color w:val="444444"/>
          <w:kern w:val="0"/>
          <w:sz w:val="28"/>
          <w:szCs w:val="28"/>
        </w:rPr>
      </w:pPr>
      <w:r>
        <w:rPr>
          <w:rFonts w:hint="eastAsia" w:cs="宋体" w:asciiTheme="minorEastAsia" w:hAnsiTheme="minorEastAsia"/>
          <w:color w:val="444444"/>
          <w:kern w:val="0"/>
          <w:sz w:val="28"/>
          <w:szCs w:val="28"/>
        </w:rPr>
        <w:t> （3）如何恰当选取语文知识点进行微课制作。</w:t>
      </w:r>
    </w:p>
    <w:p>
      <w:pPr>
        <w:widowControl/>
        <w:shd w:val="clear" w:color="auto" w:fill="FFFFFF"/>
        <w:spacing w:line="360" w:lineRule="auto"/>
        <w:jc w:val="left"/>
        <w:rPr>
          <w:rFonts w:cs="宋体" w:asciiTheme="minorEastAsia" w:hAnsiTheme="minorEastAsia"/>
          <w:color w:val="444444"/>
          <w:kern w:val="0"/>
          <w:sz w:val="28"/>
          <w:szCs w:val="28"/>
        </w:rPr>
      </w:pPr>
      <w:r>
        <w:rPr>
          <w:rFonts w:hint="eastAsia" w:cs="宋体" w:asciiTheme="minorEastAsia" w:hAnsiTheme="minorEastAsia"/>
          <w:color w:val="444444"/>
          <w:kern w:val="0"/>
          <w:sz w:val="28"/>
          <w:szCs w:val="28"/>
        </w:rPr>
        <w:t> （4）研究微课在小学语文课堂上有效运用的策略。</w:t>
      </w:r>
    </w:p>
    <w:p>
      <w:pPr>
        <w:spacing w:line="360" w:lineRule="auto"/>
        <w:rPr>
          <w:rFonts w:asciiTheme="minorEastAsia" w:hAnsiTheme="minorEastAsia"/>
          <w:b/>
          <w:bCs/>
          <w:sz w:val="28"/>
          <w:szCs w:val="28"/>
        </w:rPr>
      </w:pPr>
      <w:r>
        <w:rPr>
          <w:rFonts w:hint="eastAsia" w:asciiTheme="minorEastAsia" w:hAnsiTheme="minorEastAsia"/>
          <w:b/>
          <w:bCs/>
          <w:sz w:val="28"/>
          <w:szCs w:val="28"/>
        </w:rPr>
        <w:t>五、研究对象</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本课题的研究对象为我校教师。课题组的成员均为我校的语文教师，这些教师每天和学生相处，有开展研究的便利条件。</w:t>
      </w:r>
    </w:p>
    <w:p>
      <w:pPr>
        <w:spacing w:line="360" w:lineRule="auto"/>
        <w:rPr>
          <w:rFonts w:asciiTheme="minorEastAsia" w:hAnsiTheme="minorEastAsia"/>
          <w:b/>
          <w:bCs/>
          <w:sz w:val="28"/>
          <w:szCs w:val="28"/>
        </w:rPr>
      </w:pPr>
      <w:r>
        <w:rPr>
          <w:rFonts w:hint="eastAsia" w:asciiTheme="minorEastAsia" w:hAnsiTheme="minorEastAsia"/>
          <w:b/>
          <w:bCs/>
          <w:sz w:val="28"/>
          <w:szCs w:val="28"/>
        </w:rPr>
        <w:t>六、理论依据</w:t>
      </w:r>
    </w:p>
    <w:p>
      <w:pPr>
        <w:spacing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1、微课可以为学生提供有效的学习支架。</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微课强调以学生为中心，学生在学习过程中具有更多的主动权，但这并不意味着学生可以完全离开教师的指导进行探究。事实上，在整合的过程中，教师要扮演内容呈现者、学习帮助者和课程设计者等多重角色，教师对学生的学习控制和学生的自主活动之间要达到一种平衡状态。</w:t>
      </w:r>
    </w:p>
    <w:p>
      <w:pPr>
        <w:spacing w:line="360" w:lineRule="auto"/>
        <w:ind w:firstLine="280" w:firstLineChars="100"/>
        <w:rPr>
          <w:rFonts w:asciiTheme="minorEastAsia" w:hAnsiTheme="minorEastAsia"/>
          <w:bCs/>
          <w:sz w:val="28"/>
          <w:szCs w:val="28"/>
        </w:rPr>
      </w:pPr>
      <w:r>
        <w:rPr>
          <w:rFonts w:hint="eastAsia" w:asciiTheme="minorEastAsia" w:hAnsiTheme="minorEastAsia"/>
          <w:bCs/>
          <w:sz w:val="28"/>
          <w:szCs w:val="28"/>
        </w:rPr>
        <w:t xml:space="preserve">  2、微课具有很强的实用性、可操作性和实践性。</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在对我校589名学生进行的“家庭信息化设备普及程度”的问卷调查中，分别对家庭电脑普及、家庭智能移动设备（泛指智能手机、ipad等智能终端）普及和日常使用情况进行了调查，其中电脑普及程度达到67%，智能移动设备普及程度达到92%，在一周的使用情况调查中，78%的学生经常使用这些设备，可见移动学习的发展有很大的空间，同时也将使学生在学上更加自由、轻松和快乐，它为学习者提供了一个新的学习环境和学习方式，有着非常广阔的前景。</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3、微课可以因材施教，形成自主学习的资源库，解决了农村小学微课资源匮乏的问题。</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相关研究表明，随着现代人生活节奏的加快，人们工作压力的增大，很多知识是通过非正式学习获得的，例看报纸、看微信、跟同事聊天、生活问题寻求百度、Google帮助等等，都能对工作起到很大的帮助。将现有的课程拆分成微课视频碎片，形成一个系统性的微课资源库，学生需要学习相应知识，可以像中国知网、万方数据库等搜索引擎一样输入关键词，就会出现一系列索引课程，学生可根据自己的需求，筛选自己需要的知识以满足学生的自我需求，真正实现因材施教，教师的讲解只是学生知识中的一个工具，形成以学生为主导的学习活动。</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4、有针对性地解决了教与学的方式的转变，真正实现了“课堂翻转”。</w:t>
      </w:r>
    </w:p>
    <w:p>
      <w:pPr>
        <w:spacing w:line="360" w:lineRule="auto"/>
        <w:rPr>
          <w:rFonts w:asciiTheme="minorEastAsia" w:hAnsiTheme="minorEastAsia"/>
          <w:bCs/>
          <w:sz w:val="28"/>
          <w:szCs w:val="28"/>
        </w:rPr>
      </w:pPr>
      <w:r>
        <w:rPr>
          <w:rFonts w:hint="eastAsia" w:asciiTheme="minorEastAsia" w:hAnsiTheme="minorEastAsia"/>
          <w:bCs/>
          <w:sz w:val="28"/>
          <w:szCs w:val="28"/>
        </w:rPr>
        <w:t xml:space="preserve">    对学生而言，“微课”能更好地满足学生对不同知识点的个性化学习、按需选择学习，既可查缺补漏又能强化巩固知识，是传统课堂学习的一种重要补充和拓展资源。对教师而言，“微课”将革新传统的教学与教研方式，突破教师传统的听评课模式，教师的电子备课、课堂教学和课后反思的资源应用将更具有针对性和实效性。</w:t>
      </w:r>
    </w:p>
    <w:p>
      <w:pPr>
        <w:spacing w:line="360" w:lineRule="auto"/>
        <w:rPr>
          <w:rFonts w:asciiTheme="minorEastAsia" w:hAnsiTheme="minorEastAsia"/>
          <w:b/>
          <w:bCs/>
          <w:sz w:val="28"/>
          <w:szCs w:val="28"/>
        </w:rPr>
      </w:pPr>
      <w:r>
        <w:rPr>
          <w:rFonts w:hint="eastAsia" w:asciiTheme="minorEastAsia" w:hAnsiTheme="minorEastAsia"/>
          <w:b/>
          <w:bCs/>
          <w:sz w:val="28"/>
          <w:szCs w:val="28"/>
        </w:rPr>
        <w:t>七、研究假设（理论假说）</w:t>
      </w:r>
    </w:p>
    <w:p>
      <w:pPr>
        <w:spacing w:line="360" w:lineRule="auto"/>
        <w:ind w:firstLine="560" w:firstLineChars="200"/>
        <w:rPr>
          <w:rFonts w:asciiTheme="minorEastAsia" w:hAnsiTheme="minorEastAsia"/>
          <w:color w:val="444444"/>
          <w:sz w:val="28"/>
          <w:szCs w:val="28"/>
          <w:shd w:val="clear" w:color="auto" w:fill="FFFFFF"/>
        </w:rPr>
      </w:pPr>
      <w:r>
        <w:rPr>
          <w:rFonts w:hint="eastAsia" w:asciiTheme="minorEastAsia" w:hAnsiTheme="minorEastAsia"/>
          <w:color w:val="444444"/>
          <w:sz w:val="28"/>
          <w:szCs w:val="28"/>
          <w:shd w:val="clear" w:color="auto" w:fill="FFFFFF"/>
        </w:rPr>
        <w:t>随着教育信息化的迅猛发展，特别是学校现代化达标、教育均衡发展等项目的推进，政府投入加大，教师和学生信息化能力也都有了很大提高。目前，“三通两平台”建设也已经到了建设的最后阶段，基本实现了优质资源人人通。这为微课堂的发展提供了沃土。</w:t>
      </w:r>
    </w:p>
    <w:p>
      <w:pPr>
        <w:spacing w:line="360" w:lineRule="auto"/>
        <w:ind w:firstLine="560" w:firstLineChars="200"/>
        <w:rPr>
          <w:rFonts w:cs="Calibri" w:asciiTheme="minorEastAsia" w:hAnsiTheme="minorEastAsia"/>
          <w:color w:val="444444"/>
          <w:sz w:val="28"/>
          <w:szCs w:val="28"/>
          <w:shd w:val="clear" w:color="auto" w:fill="FFFFFF"/>
        </w:rPr>
      </w:pPr>
      <w:r>
        <w:rPr>
          <w:rFonts w:hint="eastAsia" w:cs="Calibri" w:asciiTheme="minorEastAsia" w:hAnsiTheme="minorEastAsia"/>
          <w:color w:val="444444"/>
          <w:sz w:val="28"/>
          <w:szCs w:val="28"/>
          <w:shd w:val="clear" w:color="auto" w:fill="FFFFFF"/>
        </w:rPr>
        <w:t>优质高效的微视频是高微课建设的基础，教师要有较熟练的微视频制作技术。微课教学资源的核心是</w:t>
      </w:r>
      <w:r>
        <w:rPr>
          <w:rFonts w:cs="Calibri" w:asciiTheme="minorEastAsia" w:hAnsiTheme="minorEastAsia"/>
          <w:color w:val="444444"/>
          <w:sz w:val="28"/>
          <w:szCs w:val="28"/>
          <w:shd w:val="clear" w:color="auto" w:fill="FFFFFF"/>
        </w:rPr>
        <w:t>“</w:t>
      </w:r>
      <w:r>
        <w:rPr>
          <w:rFonts w:hint="eastAsia" w:cs="Calibri" w:asciiTheme="minorEastAsia" w:hAnsiTheme="minorEastAsia"/>
          <w:color w:val="444444"/>
          <w:sz w:val="28"/>
          <w:szCs w:val="28"/>
          <w:shd w:val="clear" w:color="auto" w:fill="FFFFFF"/>
        </w:rPr>
        <w:t>短小精准</w:t>
      </w:r>
      <w:r>
        <w:rPr>
          <w:rFonts w:cs="Calibri" w:asciiTheme="minorEastAsia" w:hAnsiTheme="minorEastAsia"/>
          <w:color w:val="444444"/>
          <w:sz w:val="28"/>
          <w:szCs w:val="28"/>
          <w:shd w:val="clear" w:color="auto" w:fill="FFFFFF"/>
        </w:rPr>
        <w:t>”</w:t>
      </w:r>
      <w:r>
        <w:rPr>
          <w:rFonts w:hint="eastAsia" w:cs="Calibri" w:asciiTheme="minorEastAsia" w:hAnsiTheme="minorEastAsia"/>
          <w:color w:val="444444"/>
          <w:sz w:val="28"/>
          <w:szCs w:val="28"/>
          <w:shd w:val="clear" w:color="auto" w:fill="FFFFFF"/>
        </w:rPr>
        <w:t>的微视频，这就要求教师能熟练地创建教学视频，但现阶段，大部分一线教师对于微课视频的制作并不能做到得心应手，通常制作一个十分钟左右的视频至少要花两个小时，甚至，有些老师反映说要花上三天的时间才能做出一个较精致的微视频。因此，教师的大部分精力被消耗在视频制作上，而分散了对于教学环节的精心设计。</w:t>
      </w:r>
    </w:p>
    <w:p>
      <w:pPr>
        <w:spacing w:line="360" w:lineRule="auto"/>
        <w:ind w:firstLine="560" w:firstLineChars="200"/>
        <w:rPr>
          <w:rFonts w:cs="Calibri" w:asciiTheme="minorEastAsia" w:hAnsiTheme="minorEastAsia"/>
          <w:color w:val="444444"/>
          <w:sz w:val="28"/>
          <w:szCs w:val="28"/>
          <w:shd w:val="clear" w:color="auto" w:fill="FFFFFF"/>
        </w:rPr>
      </w:pPr>
      <w:r>
        <w:rPr>
          <w:rFonts w:hint="eastAsia" w:cs="Calibri" w:asciiTheme="minorEastAsia" w:hAnsiTheme="minorEastAsia"/>
          <w:color w:val="444444"/>
          <w:sz w:val="28"/>
          <w:szCs w:val="28"/>
          <w:shd w:val="clear" w:color="auto" w:fill="FFFFFF"/>
        </w:rPr>
        <w:t>微课教学采用了多种的新媒体教学形式，如视频教学，多媒体课件教学等。在教学过程中，图文并茂的内容直观形象。但如果仅仅使用其代替课堂上教师的讲解，反而因其缺乏互动而使得学生不愿思考了，学生的抽象思维能力也在不断下降；学生不再注重内涵的理解，而更关注形式的欣赏和知识的记忆。因此，只是简单地在课堂上进行微课视频的播放，不能充分发挥微课的优势。</w:t>
      </w:r>
      <w:r>
        <w:rPr>
          <w:rFonts w:hint="eastAsia" w:asciiTheme="minorEastAsia" w:hAnsiTheme="minorEastAsia"/>
          <w:color w:val="444444"/>
          <w:sz w:val="28"/>
          <w:szCs w:val="28"/>
          <w:shd w:val="clear" w:color="auto" w:fill="FFFFFF"/>
        </w:rPr>
        <w:t>同时，如何提高使用效率也是当务之急。这正是我们选择此课题的意义所在。</w:t>
      </w:r>
    </w:p>
    <w:p>
      <w:pPr>
        <w:spacing w:line="360" w:lineRule="auto"/>
        <w:ind w:firstLine="560" w:firstLineChars="200"/>
        <w:rPr>
          <w:rFonts w:asciiTheme="minorEastAsia" w:hAnsiTheme="minorEastAsia"/>
          <w:color w:val="444444"/>
          <w:sz w:val="28"/>
          <w:szCs w:val="28"/>
          <w:shd w:val="clear" w:color="auto" w:fill="FFFFFF"/>
        </w:rPr>
      </w:pPr>
      <w:r>
        <w:rPr>
          <w:rFonts w:hint="eastAsia" w:asciiTheme="minorEastAsia" w:hAnsiTheme="minorEastAsia"/>
          <w:color w:val="444444"/>
          <w:sz w:val="28"/>
          <w:szCs w:val="28"/>
          <w:shd w:val="clear" w:color="auto" w:fill="FFFFFF"/>
        </w:rPr>
        <w:t>班班通环境下，教育资源具有共享性。但大部分教师只是把它当做媒体工具，缺乏网络信息技术与学科教学融合课型的教学设计能力。班班通应用的目标认识为了技术和资源的应用而应用，我们研究的目的仍是为了技术和资源的应用而应用，我们研究的目的就是把利用班班通资源把教师设计好的微课上传的网上，同时服务课上课下，不仅实现教学资源共享，而且推动教师专业发展，提高学生自主学习能力。</w:t>
      </w:r>
    </w:p>
    <w:p>
      <w:pPr>
        <w:spacing w:line="360" w:lineRule="auto"/>
        <w:rPr>
          <w:rFonts w:asciiTheme="minorEastAsia" w:hAnsiTheme="minorEastAsia"/>
          <w:b/>
          <w:bCs/>
          <w:sz w:val="28"/>
          <w:szCs w:val="28"/>
        </w:rPr>
      </w:pPr>
      <w:r>
        <w:rPr>
          <w:rFonts w:hint="eastAsia" w:asciiTheme="minorEastAsia" w:hAnsiTheme="minorEastAsia"/>
          <w:b/>
          <w:bCs/>
          <w:sz w:val="28"/>
          <w:szCs w:val="28"/>
        </w:rPr>
        <w:t>八、研究方法</w:t>
      </w:r>
    </w:p>
    <w:p>
      <w:pPr>
        <w:spacing w:line="360" w:lineRule="auto"/>
        <w:rPr>
          <w:rFonts w:asciiTheme="minorEastAsia" w:hAnsiTheme="minorEastAsia"/>
          <w:bCs/>
          <w:sz w:val="28"/>
          <w:szCs w:val="28"/>
        </w:rPr>
      </w:pPr>
      <w:r>
        <w:rPr>
          <w:rFonts w:asciiTheme="minorEastAsia" w:hAnsiTheme="minorEastAsia"/>
          <w:bCs/>
          <w:sz w:val="28"/>
          <w:szCs w:val="28"/>
        </w:rPr>
        <w:t>(1)</w:t>
      </w:r>
      <w:r>
        <w:rPr>
          <w:rFonts w:hint="eastAsia" w:asciiTheme="minorEastAsia" w:hAnsiTheme="minorEastAsia"/>
          <w:bCs/>
          <w:sz w:val="28"/>
          <w:szCs w:val="28"/>
        </w:rPr>
        <w:t>调查法。通过座谈、问卷，了解教师、学生、家长对语文积累的看法及对语文积累运用的建议。</w:t>
      </w:r>
    </w:p>
    <w:p>
      <w:pPr>
        <w:spacing w:line="360" w:lineRule="auto"/>
        <w:ind w:firstLine="420" w:firstLineChars="150"/>
        <w:rPr>
          <w:rFonts w:asciiTheme="minorEastAsia" w:hAnsiTheme="minorEastAsia"/>
          <w:bCs/>
          <w:sz w:val="28"/>
          <w:szCs w:val="28"/>
        </w:rPr>
      </w:pPr>
      <w:r>
        <w:rPr>
          <w:rFonts w:asciiTheme="minorEastAsia" w:hAnsiTheme="minorEastAsia"/>
          <w:bCs/>
          <w:sz w:val="28"/>
          <w:szCs w:val="28"/>
        </w:rPr>
        <w:t>(2)</w:t>
      </w:r>
      <w:r>
        <w:rPr>
          <w:rFonts w:hint="eastAsia" w:asciiTheme="minorEastAsia" w:hAnsiTheme="minorEastAsia"/>
          <w:bCs/>
          <w:sz w:val="28"/>
          <w:szCs w:val="28"/>
        </w:rPr>
        <w:t>文献研究法。广泛收集关于“微课”教学研究的信息，结合本校实际采取科学有效的方法。</w:t>
      </w:r>
    </w:p>
    <w:p>
      <w:pPr>
        <w:spacing w:line="360" w:lineRule="auto"/>
        <w:ind w:firstLine="420" w:firstLineChars="150"/>
        <w:rPr>
          <w:rFonts w:asciiTheme="minorEastAsia" w:hAnsiTheme="minorEastAsia"/>
          <w:bCs/>
          <w:sz w:val="28"/>
          <w:szCs w:val="28"/>
        </w:rPr>
      </w:pPr>
      <w:r>
        <w:rPr>
          <w:rFonts w:asciiTheme="minorEastAsia" w:hAnsiTheme="minorEastAsia"/>
          <w:bCs/>
          <w:sz w:val="28"/>
          <w:szCs w:val="28"/>
        </w:rPr>
        <w:t>(3)</w:t>
      </w:r>
      <w:r>
        <w:rPr>
          <w:rFonts w:hint="eastAsia" w:asciiTheme="minorEastAsia" w:hAnsiTheme="minorEastAsia"/>
          <w:bCs/>
          <w:sz w:val="28"/>
          <w:szCs w:val="28"/>
        </w:rPr>
        <w:t>实践行动法。在实验研究过程中对出现的新情况、新问题，不断采取新措施进行修正和完善，逐步形成较为完善、有效的实施办法。</w:t>
      </w:r>
    </w:p>
    <w:p>
      <w:pPr>
        <w:spacing w:line="360" w:lineRule="auto"/>
        <w:ind w:firstLine="280" w:firstLineChars="100"/>
        <w:rPr>
          <w:rFonts w:asciiTheme="minorEastAsia" w:hAnsiTheme="minorEastAsia"/>
          <w:bCs/>
          <w:sz w:val="28"/>
          <w:szCs w:val="28"/>
        </w:rPr>
      </w:pPr>
      <w:r>
        <w:rPr>
          <w:rFonts w:asciiTheme="minorEastAsia" w:hAnsiTheme="minorEastAsia"/>
          <w:bCs/>
          <w:sz w:val="28"/>
          <w:szCs w:val="28"/>
        </w:rPr>
        <w:t>(4)</w:t>
      </w:r>
      <w:r>
        <w:rPr>
          <w:rFonts w:hint="eastAsia" w:asciiTheme="minorEastAsia" w:hAnsiTheme="minorEastAsia"/>
          <w:bCs/>
          <w:sz w:val="28"/>
          <w:szCs w:val="28"/>
        </w:rPr>
        <w:t>经验总结法。在实验研究过程中注重积累第一手资料，不断进行概括和归纳，最终提炼出切实可行，前瞻有望的研究成果。</w:t>
      </w:r>
    </w:p>
    <w:p>
      <w:pPr>
        <w:spacing w:line="360" w:lineRule="auto"/>
        <w:rPr>
          <w:rFonts w:asciiTheme="minorEastAsia" w:hAnsiTheme="minorEastAsia"/>
          <w:b/>
          <w:bCs/>
          <w:sz w:val="28"/>
          <w:szCs w:val="28"/>
        </w:rPr>
      </w:pPr>
      <w:r>
        <w:rPr>
          <w:rFonts w:hint="eastAsia" w:asciiTheme="minorEastAsia" w:hAnsiTheme="minorEastAsia"/>
          <w:b/>
          <w:bCs/>
          <w:sz w:val="28"/>
          <w:szCs w:val="28"/>
        </w:rPr>
        <w:t>九、研究过程（研究阶段）</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1、准备阶段（2017年4月——2017年6月）：课题准备阶段，主要采用文献法、调查法对课题提出的背景、课题研究的必要性和可行性、课题研究的主要内容等进行全面、深入的论证。完成课题申报报告和课题立项论证报告。</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 2、分析阶段（2017年7月——2017年10月）：本课题正式立项后，将根据专家提出的建议进一步明确研究方向、理清研究内容、调整研究方案。</w:t>
      </w:r>
    </w:p>
    <w:p>
      <w:pPr>
        <w:spacing w:line="360" w:lineRule="auto"/>
        <w:ind w:firstLine="420" w:firstLineChars="150"/>
        <w:rPr>
          <w:rFonts w:asciiTheme="minorEastAsia" w:hAnsiTheme="minorEastAsia"/>
          <w:sz w:val="28"/>
          <w:szCs w:val="28"/>
        </w:rPr>
      </w:pPr>
      <w:r>
        <w:rPr>
          <w:rFonts w:hint="eastAsia" w:asciiTheme="minorEastAsia" w:hAnsiTheme="minorEastAsia"/>
          <w:sz w:val="28"/>
          <w:szCs w:val="28"/>
        </w:rPr>
        <w:t> 3、实践阶段（2017年11月——2019年5月）：依据初步提出的行动研究方案，开展课题研究，边研究边总结边应用，不断研究实践，形成阶段性报告。</w:t>
      </w:r>
    </w:p>
    <w:p>
      <w:pPr>
        <w:spacing w:line="360" w:lineRule="auto"/>
        <w:rPr>
          <w:rFonts w:asciiTheme="minorEastAsia" w:hAnsiTheme="minorEastAsia"/>
          <w:sz w:val="28"/>
          <w:szCs w:val="28"/>
        </w:rPr>
      </w:pPr>
      <w:r>
        <w:rPr>
          <w:rFonts w:hint="eastAsia" w:asciiTheme="minorEastAsia" w:hAnsiTheme="minorEastAsia"/>
          <w:sz w:val="28"/>
          <w:szCs w:val="28"/>
        </w:rPr>
        <w:t>    4、结题阶段（2019年6月）：在前期研究、实践、总结基础上，进一步理清研究成果，进行归纳和提升，最终达到整个课题的研究目标，形成研究报告。</w:t>
      </w:r>
    </w:p>
    <w:p>
      <w:pPr>
        <w:spacing w:line="360" w:lineRule="auto"/>
        <w:rPr>
          <w:rFonts w:asciiTheme="minorEastAsia" w:hAnsiTheme="minorEastAsia"/>
          <w:b/>
          <w:bCs/>
          <w:sz w:val="28"/>
          <w:szCs w:val="28"/>
        </w:rPr>
      </w:pPr>
      <w:r>
        <w:rPr>
          <w:rFonts w:hint="eastAsia" w:asciiTheme="minorEastAsia" w:hAnsiTheme="minorEastAsia"/>
          <w:b/>
          <w:bCs/>
          <w:sz w:val="28"/>
          <w:szCs w:val="28"/>
        </w:rPr>
        <w:t>十、课题组成员及分工</w:t>
      </w:r>
    </w:p>
    <w:tbl>
      <w:tblPr>
        <w:tblStyle w:val="9"/>
        <w:tblW w:w="5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55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姓名</w:t>
            </w:r>
          </w:p>
        </w:tc>
        <w:tc>
          <w:tcPr>
            <w:tcW w:w="1559"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职务</w:t>
            </w:r>
          </w:p>
        </w:tc>
        <w:tc>
          <w:tcPr>
            <w:tcW w:w="2548"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杨颖</w:t>
            </w:r>
          </w:p>
        </w:tc>
        <w:tc>
          <w:tcPr>
            <w:tcW w:w="1559"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负责人</w:t>
            </w:r>
          </w:p>
        </w:tc>
        <w:tc>
          <w:tcPr>
            <w:tcW w:w="2548"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高全悦</w:t>
            </w:r>
          </w:p>
        </w:tc>
        <w:tc>
          <w:tcPr>
            <w:tcW w:w="1559"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asciiTheme="minorEastAsia" w:hAnsiTheme="minorEastAsia"/>
                <w:position w:val="6"/>
                <w:sz w:val="28"/>
                <w:szCs w:val="28"/>
              </w:rPr>
            </w:pPr>
            <w:r>
              <w:rPr>
                <w:rFonts w:hint="eastAsia" w:asciiTheme="minorEastAsia" w:hAnsiTheme="minorEastAsia"/>
                <w:position w:val="6"/>
                <w:sz w:val="28"/>
                <w:szCs w:val="28"/>
              </w:rPr>
              <w:t>课程管理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ind w:firstLine="140" w:firstLineChars="50"/>
              <w:jc w:val="center"/>
              <w:rPr>
                <w:rFonts w:hint="eastAsia" w:asciiTheme="minorEastAsia" w:hAnsiTheme="minorEastAsia"/>
                <w:position w:val="6"/>
                <w:sz w:val="28"/>
                <w:szCs w:val="28"/>
              </w:rPr>
            </w:pPr>
            <w:r>
              <w:rPr>
                <w:rFonts w:hint="eastAsia" w:asciiTheme="minorEastAsia" w:hAnsiTheme="minorEastAsia"/>
                <w:position w:val="6"/>
                <w:sz w:val="28"/>
                <w:szCs w:val="28"/>
              </w:rPr>
              <w:t>杨清蓓</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课程实施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黄鑫</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课程实施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刘美琦</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李璇</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魏美红</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eastAsiaTheme="minorEastAsia"/>
                <w:position w:val="6"/>
                <w:sz w:val="28"/>
                <w:szCs w:val="28"/>
                <w:lang w:eastAsia="zh-CN"/>
              </w:rPr>
            </w:pPr>
            <w:r>
              <w:rPr>
                <w:rFonts w:hint="eastAsia" w:asciiTheme="minorEastAsia" w:hAnsiTheme="minorEastAsia"/>
                <w:position w:val="6"/>
                <w:sz w:val="28"/>
                <w:szCs w:val="28"/>
                <w:lang w:eastAsia="zh-CN"/>
              </w:rPr>
              <w:t>杨雪</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46" w:type="dxa"/>
            <w:vAlign w:val="center"/>
          </w:tcPr>
          <w:p>
            <w:pPr>
              <w:snapToGrid w:val="0"/>
              <w:spacing w:line="360" w:lineRule="auto"/>
              <w:jc w:val="center"/>
              <w:rPr>
                <w:rFonts w:hint="eastAsia" w:asciiTheme="minorEastAsia" w:hAnsiTheme="minorEastAsia" w:eastAsiaTheme="minorEastAsia"/>
                <w:position w:val="6"/>
                <w:sz w:val="28"/>
                <w:szCs w:val="28"/>
                <w:lang w:eastAsia="zh-CN"/>
              </w:rPr>
            </w:pPr>
            <w:r>
              <w:rPr>
                <w:rFonts w:hint="eastAsia" w:asciiTheme="minorEastAsia" w:hAnsiTheme="minorEastAsia"/>
                <w:position w:val="6"/>
                <w:sz w:val="28"/>
                <w:szCs w:val="28"/>
                <w:lang w:eastAsia="zh-CN"/>
              </w:rPr>
              <w:t>孙蕾</w:t>
            </w:r>
          </w:p>
        </w:tc>
        <w:tc>
          <w:tcPr>
            <w:tcW w:w="1559"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组员</w:t>
            </w:r>
          </w:p>
        </w:tc>
        <w:tc>
          <w:tcPr>
            <w:tcW w:w="2548" w:type="dxa"/>
            <w:vAlign w:val="center"/>
          </w:tcPr>
          <w:p>
            <w:pPr>
              <w:snapToGrid w:val="0"/>
              <w:spacing w:line="360" w:lineRule="auto"/>
              <w:jc w:val="center"/>
              <w:rPr>
                <w:rFonts w:hint="eastAsia" w:asciiTheme="minorEastAsia" w:hAnsiTheme="minorEastAsia"/>
                <w:position w:val="6"/>
                <w:sz w:val="28"/>
                <w:szCs w:val="28"/>
              </w:rPr>
            </w:pPr>
            <w:r>
              <w:rPr>
                <w:rFonts w:hint="eastAsia" w:asciiTheme="minorEastAsia" w:hAnsiTheme="minorEastAsia"/>
                <w:position w:val="6"/>
                <w:sz w:val="28"/>
                <w:szCs w:val="28"/>
              </w:rPr>
              <w:t>课程评价</w:t>
            </w:r>
          </w:p>
        </w:tc>
      </w:tr>
    </w:tbl>
    <w:p>
      <w:pPr>
        <w:spacing w:line="360" w:lineRule="auto"/>
        <w:rPr>
          <w:rFonts w:asciiTheme="minorEastAsia" w:hAnsiTheme="minorEastAsia"/>
          <w:b/>
          <w:bCs/>
          <w:sz w:val="28"/>
          <w:szCs w:val="28"/>
        </w:rPr>
      </w:pPr>
      <w:r>
        <w:rPr>
          <w:rFonts w:hint="eastAsia" w:asciiTheme="minorEastAsia" w:hAnsiTheme="minorEastAsia"/>
          <w:b/>
          <w:bCs/>
          <w:sz w:val="28"/>
          <w:szCs w:val="28"/>
        </w:rPr>
        <w:t>十一、主要参考文献</w:t>
      </w:r>
    </w:p>
    <w:p>
      <w:pPr>
        <w:spacing w:line="360" w:lineRule="auto"/>
        <w:ind w:left="420" w:hanging="420" w:hangingChars="150"/>
        <w:rPr>
          <w:rFonts w:asciiTheme="minorEastAsia" w:hAnsiTheme="minorEastAsia"/>
          <w:bCs/>
          <w:kern w:val="10"/>
          <w:sz w:val="28"/>
          <w:szCs w:val="28"/>
        </w:rPr>
      </w:pPr>
      <w:r>
        <w:rPr>
          <w:rFonts w:asciiTheme="minorEastAsia" w:hAnsiTheme="minorEastAsia"/>
          <w:kern w:val="10"/>
          <w:sz w:val="28"/>
          <w:szCs w:val="28"/>
        </w:rPr>
        <w:t>[1]</w:t>
      </w:r>
      <w:r>
        <w:rPr>
          <w:rFonts w:hint="eastAsia" w:asciiTheme="minorEastAsia" w:hAnsiTheme="minorEastAsia"/>
          <w:bCs/>
          <w:kern w:val="10"/>
          <w:sz w:val="28"/>
          <w:szCs w:val="28"/>
        </w:rPr>
        <w:t>金陵.《翻转课堂与微课程教学法》 北京师范大学出版社</w:t>
      </w:r>
    </w:p>
    <w:p>
      <w:pPr>
        <w:spacing w:line="360" w:lineRule="auto"/>
        <w:ind w:left="560" w:hanging="560" w:hangingChars="200"/>
        <w:rPr>
          <w:rFonts w:asciiTheme="minorEastAsia" w:hAnsiTheme="minorEastAsia"/>
          <w:kern w:val="10"/>
          <w:sz w:val="28"/>
          <w:szCs w:val="28"/>
        </w:rPr>
      </w:pPr>
      <w:r>
        <w:rPr>
          <w:rFonts w:hint="eastAsia" w:asciiTheme="minorEastAsia" w:hAnsiTheme="minorEastAsia"/>
          <w:kern w:val="10"/>
          <w:sz w:val="28"/>
          <w:szCs w:val="28"/>
        </w:rPr>
        <w:t>[2] 梁乐明，曹俏俏，张宝辉 . 微课程设计模式研究——基于国内外微课程的对比分析 [J]. 开放教育研究 ,2013,19(1)：65-73.</w:t>
      </w:r>
    </w:p>
    <w:p>
      <w:pPr>
        <w:spacing w:line="360" w:lineRule="auto"/>
        <w:ind w:left="280" w:hanging="280" w:hangingChars="100"/>
        <w:rPr>
          <w:rFonts w:asciiTheme="minorEastAsia" w:hAnsiTheme="minorEastAsia"/>
          <w:kern w:val="10"/>
          <w:sz w:val="28"/>
          <w:szCs w:val="28"/>
        </w:rPr>
      </w:pPr>
      <w:r>
        <w:rPr>
          <w:rFonts w:asciiTheme="minorEastAsia" w:hAnsiTheme="minorEastAsia"/>
          <w:kern w:val="10"/>
          <w:sz w:val="28"/>
          <w:szCs w:val="28"/>
        </w:rPr>
        <w:t>[3</w:t>
      </w:r>
      <w:r>
        <w:rPr>
          <w:rFonts w:hint="eastAsia" w:asciiTheme="minorEastAsia" w:hAnsiTheme="minorEastAsia"/>
          <w:kern w:val="10"/>
          <w:sz w:val="28"/>
          <w:szCs w:val="28"/>
        </w:rPr>
        <w:t>]胡铁生．“微课 ”：区域教育信息资源发展的新趋势[J].电化教育研究，2011(10) .</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[4]胡铁生，詹春青．中小学优质微课资源开发的区域实践与启示[J].中国教育信息化，2012(11)．</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[5]胡铁生．中小学微课建设与应用难点问题透析[J].中小学信息技术教育，2013(4).</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[6]焦建利．微课及其应用与影响[J].中小学信息技术，2013(4)．</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[7]黎加厚．微 课的含义与发展 [J].中小学信息技术，2013(4)</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 xml:space="preserve">[8] 金陵． 从联系中看MOOC、微课和微课程［J］．中国信息技术教育， 2013（6）：3 </w:t>
      </w:r>
    </w:p>
    <w:p>
      <w:pPr>
        <w:spacing w:line="360" w:lineRule="auto"/>
        <w:ind w:left="420" w:hanging="420" w:hangingChars="150"/>
        <w:rPr>
          <w:rFonts w:asciiTheme="minorEastAsia" w:hAnsiTheme="minorEastAsia"/>
          <w:kern w:val="10"/>
          <w:sz w:val="28"/>
          <w:szCs w:val="28"/>
        </w:rPr>
      </w:pPr>
      <w:r>
        <w:rPr>
          <w:rFonts w:hint="eastAsia" w:asciiTheme="minorEastAsia" w:hAnsiTheme="minorEastAsia"/>
          <w:kern w:val="10"/>
          <w:sz w:val="28"/>
          <w:szCs w:val="28"/>
        </w:rPr>
        <w:t>[9] 胡铁生,黄明燕,李民.我国微课发展的三个阶段及其启示 [J].远程教育杂志 ,2013，(4)：36-42.</w:t>
      </w:r>
    </w:p>
    <w:p>
      <w:pPr>
        <w:spacing w:line="360" w:lineRule="auto"/>
        <w:ind w:left="560" w:hanging="560" w:hangingChars="200"/>
        <w:rPr>
          <w:rFonts w:asciiTheme="minorEastAsia" w:hAnsiTheme="minorEastAsia"/>
          <w:kern w:val="10"/>
          <w:sz w:val="28"/>
          <w:szCs w:val="28"/>
        </w:rPr>
      </w:pPr>
      <w:r>
        <w:rPr>
          <w:rFonts w:hint="eastAsia" w:asciiTheme="minorEastAsia" w:hAnsiTheme="minorEastAsia"/>
          <w:kern w:val="10"/>
          <w:sz w:val="28"/>
          <w:szCs w:val="28"/>
        </w:rPr>
        <w:t>[10] 张中兴 . 微课与微课程研究进展综述 [J]. 中国医学教育技术，2014，(6)：588-589.</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[11] 全国高校微课网</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 xml:space="preserve"> [EB/OL].http://weike.enetedu.com/,2015-</w:t>
      </w:r>
      <w:r>
        <w:rPr>
          <w:rFonts w:asciiTheme="minorEastAsia" w:hAnsiTheme="minorEastAsia"/>
          <w:kern w:val="10"/>
          <w:sz w:val="28"/>
          <w:szCs w:val="28"/>
        </w:rPr>
        <w:t>07-20.</w:t>
      </w:r>
    </w:p>
    <w:p>
      <w:pPr>
        <w:spacing w:line="360" w:lineRule="auto"/>
        <w:rPr>
          <w:rFonts w:asciiTheme="minorEastAsia" w:hAnsiTheme="minorEastAsia"/>
          <w:kern w:val="10"/>
          <w:sz w:val="28"/>
          <w:szCs w:val="28"/>
        </w:rPr>
      </w:pPr>
      <w:r>
        <w:rPr>
          <w:rFonts w:hint="eastAsia" w:asciiTheme="minorEastAsia" w:hAnsiTheme="minorEastAsia"/>
          <w:kern w:val="10"/>
          <w:sz w:val="28"/>
          <w:szCs w:val="28"/>
        </w:rPr>
        <w:t>[12] 中国微课网 [EB/OL].http://dasai.cnweike.cn,2015-07-23.</w:t>
      </w:r>
    </w:p>
    <w:p>
      <w:pPr>
        <w:spacing w:line="360" w:lineRule="auto"/>
        <w:rPr>
          <w:rFonts w:ascii="宋体" w:hAnsi="宋体"/>
          <w:kern w:val="10"/>
          <w:sz w:val="24"/>
        </w:rPr>
      </w:pPr>
    </w:p>
    <w:p>
      <w:pPr>
        <w:spacing w:line="440" w:lineRule="exact"/>
        <w:rPr>
          <w:sz w:val="28"/>
          <w:szCs w:val="28"/>
        </w:rPr>
      </w:pPr>
    </w:p>
    <w:p>
      <w:pPr>
        <w:widowControl/>
        <w:spacing w:line="460" w:lineRule="exact"/>
        <w:ind w:firstLine="560"/>
        <w:jc w:val="center"/>
        <w:rPr>
          <w:rFonts w:ascii="仿宋_GB2312" w:hAnsi="仿宋_GB2312" w:eastAsia="仿宋_GB2312" w:cs="仿宋_GB2312"/>
          <w:sz w:val="28"/>
          <w:szCs w:val="28"/>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8601"/>
    </w:sdtPr>
    <w:sdtContent>
      <w:p>
        <w:pPr>
          <w:pStyle w:val="5"/>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610A5B"/>
    <w:rsid w:val="000D3F3F"/>
    <w:rsid w:val="001B037A"/>
    <w:rsid w:val="003B5937"/>
    <w:rsid w:val="00493C31"/>
    <w:rsid w:val="005441A8"/>
    <w:rsid w:val="005D74AB"/>
    <w:rsid w:val="006109FE"/>
    <w:rsid w:val="00735811"/>
    <w:rsid w:val="00797ED5"/>
    <w:rsid w:val="008365AA"/>
    <w:rsid w:val="0084569D"/>
    <w:rsid w:val="00AF2919"/>
    <w:rsid w:val="00B213F8"/>
    <w:rsid w:val="00B22F85"/>
    <w:rsid w:val="00B42602"/>
    <w:rsid w:val="00BB4EDA"/>
    <w:rsid w:val="00C24828"/>
    <w:rsid w:val="17C02D9A"/>
    <w:rsid w:val="1EF2462A"/>
    <w:rsid w:val="335E0701"/>
    <w:rsid w:val="46684579"/>
    <w:rsid w:val="560C2554"/>
    <w:rsid w:val="62EE0DB6"/>
    <w:rsid w:val="65845A59"/>
    <w:rsid w:val="6A610A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Times New Roman" w:hAnsi="Times New Roman" w:cs="Times New Roman"/>
      <w:sz w:val="24"/>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99"/>
    <w:rPr>
      <w:kern w:val="2"/>
      <w:sz w:val="18"/>
      <w:szCs w:val="18"/>
    </w:rPr>
  </w:style>
  <w:style w:type="character" w:customStyle="1" w:styleId="12">
    <w:name w:val="批注框文本 Char"/>
    <w:basedOn w:val="8"/>
    <w:link w:val="4"/>
    <w:qFormat/>
    <w:uiPriority w:val="0"/>
    <w:rPr>
      <w:kern w:val="2"/>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标题 2 Char"/>
    <w:basedOn w:val="8"/>
    <w:link w:val="3"/>
    <w:uiPriority w:val="9"/>
    <w:rPr>
      <w:rFonts w:ascii="宋体" w:hAnsi="宋体" w:eastAsia="宋体" w:cs="宋体"/>
      <w:b/>
      <w:bCs/>
      <w:sz w:val="36"/>
      <w:szCs w:val="36"/>
    </w:rPr>
  </w:style>
  <w:style w:type="character" w:customStyle="1" w:styleId="15">
    <w:name w:val="sort-con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667</Words>
  <Characters>3808</Characters>
  <Lines>31</Lines>
  <Paragraphs>8</Paragraphs>
  <TotalTime>0</TotalTime>
  <ScaleCrop>false</ScaleCrop>
  <LinksUpToDate>false</LinksUpToDate>
  <CharactersWithSpaces>4467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2017-02-17T03:26:00Z</dcterms:created>
  <dc:creator>Administrator</dc:creator>
  <cp:lastModifiedBy>LMZXX-DJ</cp:lastModifiedBy>
  <dcterms:modified xsi:type="dcterms:W3CDTF">2017-12-20T07:14:00Z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