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附一：</w:t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</w:rPr>
        <w:t>参考文献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[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]张义兵．美国的“21世纪技能”内涵解读——兼析对我国基础教育改革的启示[J]．比较教育研究，2012，(5)．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[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]裴新宁，刘新阳．为21世纪重建教育——欧盟“核心素养”框架的确立[J]．全球教育展望，2013，(12)．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[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]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贺斌;薛耀锋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instrText xml:space="preserve"> HYPERLINK "http://www.cnki.com.cn/Article/CJFDTOTAL-JFJJ201304014.htm                          " \t "http://www.cnki.com.cn/Article/_blank" </w:instrTex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网络学习空间的建构——教育信息化思维与实践的变革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[J];开放教育研究;2013年04期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[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]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刘洪宇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instrText xml:space="preserve"> HYPERLINK "http://www.cnki.com.cn/Article/CJFDTOTAL-JYXX201314025.htm                          " \t "http://www.cnki.com.cn/Article/_blank" </w:instrTex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在学习空间与教学深度融合中创新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[J];中国教育信息化;2013年14期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[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]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卫才友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instrText xml:space="preserve"> HYPERLINK "http://www.cnki.com.cn/Article/CJFDTOTAL-ZXJA201305020.htm                          " \t "http://www.cnki.com.cn/Article/_blank" </w:instrTex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我心目中的“网络学习空间人人通”</w:t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[J];中小学信息技术教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育；2013年05期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附二：调查问卷截图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66055" cy="5006975"/>
            <wp:effectExtent l="0" t="0" r="10795" b="317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4"/>
          <w:rFonts w:hint="eastAsia" w:ascii="黑体" w:hAnsi="_x000B__x000C_" w:eastAsia="黑体"/>
          <w:sz w:val="24"/>
          <w:szCs w:val="24"/>
          <w:lang w:val="en-US" w:eastAsia="zh-CN"/>
        </w:rPr>
      </w:pPr>
      <w:r>
        <w:rPr>
          <w:rStyle w:val="4"/>
          <w:rFonts w:hint="eastAsia" w:ascii="黑体" w:hAnsi="_x000B__x000C_" w:eastAsia="黑体"/>
          <w:sz w:val="24"/>
          <w:szCs w:val="24"/>
          <w:lang w:val="en-US" w:eastAsia="zh-CN"/>
        </w:rPr>
        <w:drawing>
          <wp:inline distT="0" distB="0" distL="114300" distR="114300">
            <wp:extent cx="4752975" cy="4591685"/>
            <wp:effectExtent l="0" t="0" r="9525" b="1841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附三：</w:t>
      </w:r>
      <w:r>
        <w:rPr>
          <w:rStyle w:val="4"/>
          <w:rFonts w:hint="eastAsia" w:ascii="黑体" w:hAnsi="_x000B__x000C_" w:eastAsia="黑体" w:cstheme="minorBidi"/>
          <w:kern w:val="2"/>
          <w:sz w:val="24"/>
          <w:szCs w:val="24"/>
          <w:lang w:val="en-US" w:eastAsia="zh-CN" w:bidi="ar-SA"/>
        </w:rPr>
        <w:t>研究步骤及实施进度计划</w:t>
      </w:r>
      <w:bookmarkStart w:id="0" w:name="_GoBack"/>
      <w:bookmarkEnd w:id="0"/>
    </w:p>
    <w:tbl>
      <w:tblPr>
        <w:tblStyle w:val="6"/>
        <w:tblW w:w="7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85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进程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981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第一阶段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12--2017.4筹划准备阶段</w:t>
            </w:r>
          </w:p>
        </w:tc>
        <w:tc>
          <w:tcPr>
            <w:tcW w:w="4981" w:type="dxa"/>
            <w:vAlign w:val="top"/>
          </w:tcPr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（1）组建课题研究小组；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（2）撰写课题研究申请书；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（3）课题组成员查找资料自学，收集相关课题的最新研究动态、成果。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第二阶段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2017.5--2017.12研究实践阶段</w:t>
            </w:r>
          </w:p>
        </w:tc>
        <w:tc>
          <w:tcPr>
            <w:tcW w:w="4981" w:type="dxa"/>
            <w:vAlign w:val="top"/>
          </w:tcPr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（1）熟悉人人通网络学习空间的基本功能，使用方法研究；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（2）培训学生使用人人通的各个模块进行学习、交流，完善自己个人空间；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（3）研究如何采用网络学习空间的呈现方式，改变教师教的方式，以及学生学习的方式，从而创造有效的信息化学科教学；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（4）课题组成员与校内其他学科教师交流或邀请专家到校培训；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5）在每一教学模块学习前，做关于学情网的网上调查分析，尝试调整教学设计，以便在实施过程中更贴合学生，促进学生保持学习兴趣；课题组成员撰写的信息化教学设计、做研究展示课及课件、说课及说课课件丰富学校的教学资源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第三阶段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2018.1--2018.12中期攻坚阶段</w:t>
            </w:r>
          </w:p>
        </w:tc>
        <w:tc>
          <w:tcPr>
            <w:tcW w:w="4981" w:type="dxa"/>
            <w:vAlign w:val="top"/>
          </w:tcPr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加强理论学习，不断提高研究水平；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全面展开研究，进行理论和实践对比测试。跟进记录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，即记录研究过程、收集各类研究资料和数据，进行整理计算、测试、对比，总结经验，查找差距；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（3）整理已收集的资料，总结实践得失，召开课题中期汇报会；反思调整，即分析研究资料及数据、阶段总结、找出问题和改进策略，最后，根据反思结果，对研究步骤、计划等进行调整。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4）课题组成员研究成果：微课或课堂实录展示及论文交流、研讨；研究中课题组成员成功的及失败的教学案例课堂实录，对不足点予以纠正。进行后测，在数据处理的基础上对研究结果进行分析，初步完成立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第四阶段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2019.1--2019.6展示结题阶段</w:t>
            </w:r>
          </w:p>
        </w:tc>
        <w:tc>
          <w:tcPr>
            <w:tcW w:w="4981" w:type="dxa"/>
            <w:vAlign w:val="top"/>
          </w:tcPr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（1）开展关于如何促进学生网络自主学习、合作探究、创新实践向提升核心素养的转变落实的成果展示。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（2）课题组成员进一步研究、分析已有成果：微课或课堂实录展示及论文交流、研讨，充实完成立项；</w:t>
            </w:r>
          </w:p>
          <w:p>
            <w:pPr>
              <w:pStyle w:val="2"/>
              <w:shd w:val="clear" w:color="auto" w:fill="FFFFFF"/>
              <w:spacing w:beforeAutospacing="0" w:afterAutospacing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（3）考察学科间在运用网络学习空间过程中是否有经验借鉴的可能，验证实验效度。归纳立项价值及推广经验，撰写结题报告。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70D4"/>
    <w:rsid w:val="19D17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Hyperlink"/>
    <w:basedOn w:val="3"/>
    <w:uiPriority w:val="0"/>
    <w:rPr>
      <w:color w:val="000000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2017-12-29T02:26:00Z</dcterms:created>
  <dc:creator>dell</dc:creator>
  <cp:lastModifiedBy>dell</cp:lastModifiedBy>
  <dcterms:modified xsi:type="dcterms:W3CDTF">2017-12-29T02:45:59Z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