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sz w:val="36"/>
          <w:szCs w:val="36"/>
          <w:lang w:val="en-US" w:eastAsia="zh-CN"/>
        </w:rPr>
      </w:pPr>
    </w:p>
    <w:p>
      <w:pPr>
        <w:rPr>
          <w:rFonts w:ascii="楷体_GB2312" w:eastAsia="楷体_GB2312"/>
          <w:b/>
          <w:sz w:val="24"/>
        </w:rPr>
      </w:pPr>
      <w:r>
        <w:rPr>
          <w:rFonts w:ascii="楷体_GB2312" w:hAnsi="Times New Roman" w:eastAsia="楷体_GB2312" w:cs="Times New Roman"/>
          <w:b/>
          <w:kern w:val="2"/>
          <w:sz w:val="24"/>
          <w:szCs w:val="24"/>
          <w:lang w:val="en-US" w:eastAsia="zh-CN" w:bidi="ar-SA"/>
        </w:rPr>
        <w:pict>
          <v:rect id="矩形 1" o:spid="_x0000_s1026" style="position:absolute;left:0;margin-left:0pt;margin-top:0pt;height:101.4pt;width:162pt;rotation:0f;z-index:251658240;" o:ole="f" fillcolor="#FFFFFF" filled="t" o:preferrelative="t" stroked="t" coordsize="21600,21600">
            <v:stroke weight="1.75pt" color="#000000" color2="#FFFFFF" miterlimit="2"/>
            <v:imagedata gain="65536f" blacklevel="0f" gamma="0"/>
            <o:lock v:ext="edit" position="f" selection="f" grouping="f" rotation="f" cropping="f" text="f" aspectratio="f"/>
            <v:textbox>
              <w:txbxContent>
                <w:p>
                  <w:pPr>
                    <w:jc w:val="center"/>
                    <w:rPr>
                      <w:b/>
                      <w:sz w:val="44"/>
                      <w:szCs w:val="44"/>
                    </w:rPr>
                  </w:pPr>
                  <w:r>
                    <w:rPr>
                      <w:rFonts w:hint="eastAsia"/>
                      <w:b/>
                      <w:sz w:val="44"/>
                      <w:szCs w:val="44"/>
                    </w:rPr>
                    <w:t>2019年</w:t>
                  </w:r>
                </w:p>
                <w:p>
                  <w:pPr>
                    <w:jc w:val="center"/>
                    <w:rPr>
                      <w:b/>
                      <w:sz w:val="36"/>
                      <w:szCs w:val="36"/>
                    </w:rPr>
                  </w:pPr>
                  <w:r>
                    <w:rPr>
                      <w:rFonts w:hint="eastAsia"/>
                      <w:b/>
                      <w:sz w:val="36"/>
                      <w:szCs w:val="36"/>
                    </w:rPr>
                    <w:t>天津市“</w:t>
                  </w:r>
                  <w:r>
                    <w:rPr>
                      <w:rFonts w:hint="eastAsia"/>
                      <w:b/>
                      <w:sz w:val="36"/>
                      <w:szCs w:val="36"/>
                      <w:lang w:eastAsia="zh-CN"/>
                    </w:rPr>
                    <w:t>双成果</w:t>
                  </w:r>
                  <w:r>
                    <w:rPr>
                      <w:rFonts w:hint="eastAsia"/>
                      <w:b/>
                      <w:sz w:val="36"/>
                      <w:szCs w:val="36"/>
                    </w:rPr>
                    <w:t>”</w:t>
                  </w:r>
                </w:p>
                <w:p>
                  <w:pPr>
                    <w:jc w:val="center"/>
                    <w:rPr>
                      <w:b/>
                      <w:sz w:val="48"/>
                      <w:szCs w:val="48"/>
                    </w:rPr>
                  </w:pPr>
                  <w:r>
                    <w:rPr>
                      <w:rFonts w:hint="eastAsia"/>
                      <w:b/>
                      <w:sz w:val="48"/>
                      <w:szCs w:val="48"/>
                      <w:lang w:eastAsia="zh-CN"/>
                    </w:rPr>
                    <w:t>论</w:t>
                  </w:r>
                  <w:r>
                    <w:rPr>
                      <w:rFonts w:hint="eastAsia"/>
                      <w:b/>
                      <w:sz w:val="48"/>
                      <w:szCs w:val="48"/>
                    </w:rPr>
                    <w:t xml:space="preserve">   文</w:t>
                  </w:r>
                </w:p>
              </w:txbxContent>
            </v:textbox>
          </v:rect>
        </w:pict>
      </w:r>
    </w:p>
    <w:p>
      <w:pPr>
        <w:rPr>
          <w:rFonts w:ascii="楷体_GB2312" w:eastAsia="楷体_GB2312"/>
          <w:b/>
          <w:sz w:val="24"/>
        </w:rPr>
      </w:pPr>
    </w:p>
    <w:p>
      <w:pPr>
        <w:rPr>
          <w:rFonts w:ascii="楷体_GB2312" w:eastAsia="楷体_GB2312"/>
          <w:b/>
          <w:sz w:val="24"/>
        </w:rPr>
      </w:pPr>
    </w:p>
    <w:p>
      <w:pPr>
        <w:spacing w:line="360" w:lineRule="auto"/>
        <w:jc w:val="center"/>
        <w:rPr>
          <w:rFonts w:ascii="黑体" w:eastAsia="黑体"/>
          <w:b/>
          <w:bCs/>
          <w:sz w:val="36"/>
        </w:rPr>
      </w:pPr>
    </w:p>
    <w:p>
      <w:pPr>
        <w:spacing w:line="360" w:lineRule="auto"/>
        <w:jc w:val="center"/>
        <w:rPr>
          <w:rFonts w:ascii="黑体" w:eastAsia="黑体"/>
          <w:b/>
          <w:bCs/>
          <w:sz w:val="36"/>
        </w:rPr>
      </w:pPr>
    </w:p>
    <w:p>
      <w:pPr>
        <w:spacing w:line="360" w:lineRule="auto"/>
        <w:jc w:val="center"/>
        <w:rPr>
          <w:rFonts w:ascii="黑体" w:eastAsia="黑体"/>
          <w:b/>
          <w:bCs/>
          <w:sz w:val="36"/>
        </w:rPr>
      </w:pPr>
    </w:p>
    <w:p>
      <w:pPr>
        <w:spacing w:line="360" w:lineRule="auto"/>
        <w:jc w:val="center"/>
        <w:rPr>
          <w:rFonts w:ascii="黑体" w:eastAsia="黑体"/>
          <w:b/>
          <w:bCs/>
          <w:sz w:val="36"/>
        </w:rPr>
      </w:pPr>
    </w:p>
    <w:p>
      <w:pPr>
        <w:spacing w:line="360" w:lineRule="auto"/>
        <w:jc w:val="center"/>
        <w:rPr>
          <w:rFonts w:ascii="黑体" w:eastAsia="黑体"/>
          <w:b/>
          <w:bCs/>
          <w:sz w:val="36"/>
        </w:rPr>
      </w:pPr>
    </w:p>
    <w:p>
      <w:pPr>
        <w:spacing w:line="360" w:lineRule="auto"/>
        <w:jc w:val="center"/>
        <w:rPr>
          <w:rFonts w:ascii="黑体" w:eastAsia="黑体"/>
          <w:b/>
          <w:bCs/>
          <w:sz w:val="36"/>
        </w:rPr>
      </w:pPr>
    </w:p>
    <w:p>
      <w:pPr>
        <w:spacing w:line="360" w:lineRule="auto"/>
        <w:jc w:val="center"/>
        <w:rPr>
          <w:rFonts w:hint="eastAsia" w:ascii="黑体" w:hAnsi="黑体" w:eastAsia="黑体" w:cs="黑体"/>
          <w:i w:val="0"/>
          <w:caps w:val="0"/>
          <w:color w:val="auto"/>
          <w:spacing w:val="0"/>
          <w:sz w:val="32"/>
          <w:szCs w:val="32"/>
          <w:shd w:val="clear" w:color="auto" w:fill="FFFFFF"/>
        </w:rPr>
      </w:pPr>
      <w:r>
        <w:rPr>
          <w:rFonts w:hint="eastAsia" w:ascii="黑体" w:hAnsi="黑体" w:eastAsia="黑体" w:cs="黑体"/>
          <w:i w:val="0"/>
          <w:caps w:val="0"/>
          <w:color w:val="auto"/>
          <w:spacing w:val="0"/>
          <w:sz w:val="32"/>
          <w:szCs w:val="32"/>
          <w:shd w:val="clear" w:color="auto" w:fill="FFFFFF"/>
        </w:rPr>
        <w:t xml:space="preserve">利用“人教数字校园”平台 </w:t>
      </w:r>
    </w:p>
    <w:p>
      <w:pPr>
        <w:spacing w:line="360" w:lineRule="auto"/>
        <w:jc w:val="center"/>
        <w:rPr>
          <w:rFonts w:hint="eastAsia" w:ascii="黑体" w:hAnsi="黑体" w:eastAsia="黑体" w:cs="黑体"/>
          <w:b/>
          <w:color w:val="auto"/>
          <w:sz w:val="32"/>
          <w:szCs w:val="32"/>
        </w:rPr>
      </w:pPr>
      <w:r>
        <w:rPr>
          <w:rFonts w:hint="eastAsia" w:ascii="黑体" w:hAnsi="黑体" w:eastAsia="黑体" w:cs="黑体"/>
          <w:i w:val="0"/>
          <w:caps w:val="0"/>
          <w:color w:val="auto"/>
          <w:spacing w:val="0"/>
          <w:sz w:val="32"/>
          <w:szCs w:val="32"/>
          <w:shd w:val="clear" w:color="auto" w:fill="FFFFFF"/>
        </w:rPr>
        <w:t>打开初中生物个性化学习的大门</w:t>
      </w:r>
    </w:p>
    <w:p>
      <w:pPr>
        <w:spacing w:line="360" w:lineRule="auto"/>
        <w:ind w:firstLine="480"/>
        <w:rPr>
          <w:rFonts w:hint="eastAsia" w:ascii="黑体" w:hAnsi="黑体" w:eastAsia="黑体" w:cs="黑体"/>
          <w:b/>
          <w:color w:val="auto"/>
          <w:sz w:val="32"/>
          <w:szCs w:val="32"/>
        </w:rPr>
      </w:pPr>
    </w:p>
    <w:p>
      <w:pPr>
        <w:spacing w:line="360" w:lineRule="auto"/>
        <w:jc w:val="center"/>
        <w:rPr>
          <w:rFonts w:ascii="黑体" w:eastAsia="黑体"/>
          <w:b/>
          <w:bCs/>
          <w:sz w:val="36"/>
        </w:rPr>
      </w:pPr>
    </w:p>
    <w:p>
      <w:pPr>
        <w:spacing w:line="360" w:lineRule="auto"/>
        <w:jc w:val="center"/>
        <w:rPr>
          <w:rFonts w:ascii="黑体" w:eastAsia="黑体"/>
          <w:b/>
          <w:bCs/>
          <w:sz w:val="36"/>
        </w:rPr>
      </w:pPr>
    </w:p>
    <w:p>
      <w:pPr>
        <w:spacing w:line="360" w:lineRule="auto"/>
        <w:jc w:val="center"/>
        <w:rPr>
          <w:rFonts w:ascii="黑体" w:eastAsia="黑体"/>
          <w:b/>
          <w:bCs/>
          <w:sz w:val="36"/>
        </w:rPr>
      </w:pPr>
    </w:p>
    <w:p>
      <w:pPr>
        <w:spacing w:line="360" w:lineRule="auto"/>
        <w:rPr>
          <w:rFonts w:ascii="宋体" w:hAnsi="宋体"/>
          <w:b/>
          <w:sz w:val="28"/>
          <w:szCs w:val="28"/>
        </w:rPr>
      </w:pPr>
      <w:r>
        <w:rPr>
          <w:rFonts w:hint="eastAsia" w:ascii="宋体" w:hAnsi="宋体"/>
          <w:b/>
          <w:sz w:val="28"/>
          <w:szCs w:val="28"/>
          <w:lang w:val="en-US" w:eastAsia="zh-CN"/>
        </w:rPr>
        <w:t xml:space="preserve">                   </w:t>
      </w:r>
      <w:r>
        <w:rPr>
          <w:rFonts w:hint="eastAsia" w:ascii="宋体" w:hAnsi="宋体"/>
          <w:b/>
          <w:sz w:val="28"/>
          <w:szCs w:val="28"/>
        </w:rPr>
        <w:t>作者：</w:t>
      </w:r>
      <w:r>
        <w:rPr>
          <w:rFonts w:hint="eastAsia" w:ascii="宋体" w:hAnsi="宋体"/>
          <w:b/>
          <w:sz w:val="28"/>
          <w:szCs w:val="28"/>
          <w:lang w:eastAsia="zh-CN"/>
        </w:rPr>
        <w:t>张娜</w:t>
      </w:r>
    </w:p>
    <w:p>
      <w:pPr>
        <w:spacing w:line="360" w:lineRule="auto"/>
        <w:ind w:firstLine="2642" w:firstLineChars="940"/>
        <w:rPr>
          <w:rFonts w:ascii="宋体" w:hAnsi="宋体"/>
          <w:b/>
          <w:sz w:val="28"/>
          <w:szCs w:val="28"/>
        </w:rPr>
      </w:pPr>
      <w:r>
        <w:rPr>
          <w:rFonts w:hint="eastAsia" w:ascii="宋体" w:hAnsi="宋体"/>
          <w:b/>
          <w:sz w:val="28"/>
          <w:szCs w:val="28"/>
        </w:rPr>
        <w:t>单位：天津市铃铛阁外国语中学</w:t>
      </w:r>
    </w:p>
    <w:p>
      <w:pPr>
        <w:spacing w:line="360" w:lineRule="auto"/>
        <w:ind w:firstLine="2642" w:firstLineChars="940"/>
        <w:rPr>
          <w:rFonts w:ascii="宋体" w:hAnsi="宋体"/>
          <w:b/>
          <w:sz w:val="28"/>
          <w:szCs w:val="28"/>
        </w:rPr>
      </w:pPr>
      <w:r>
        <w:rPr>
          <w:rFonts w:hint="eastAsia" w:ascii="宋体" w:hAnsi="宋体"/>
          <w:b/>
          <w:sz w:val="28"/>
          <w:szCs w:val="28"/>
        </w:rPr>
        <w:t>电话：</w:t>
      </w:r>
      <w:r>
        <w:rPr>
          <w:rFonts w:hint="eastAsia" w:ascii="宋体" w:hAnsi="宋体"/>
          <w:b/>
          <w:sz w:val="28"/>
          <w:szCs w:val="28"/>
          <w:lang w:val="en-US" w:eastAsia="zh-CN"/>
        </w:rPr>
        <w:t>18622262700</w:t>
      </w:r>
    </w:p>
    <w:p>
      <w:pPr>
        <w:spacing w:line="360" w:lineRule="auto"/>
        <w:ind w:firstLine="2642" w:firstLineChars="940"/>
        <w:rPr>
          <w:rFonts w:ascii="宋体" w:hAnsi="宋体"/>
          <w:b/>
          <w:sz w:val="28"/>
          <w:szCs w:val="28"/>
        </w:rPr>
      </w:pPr>
      <w:r>
        <w:rPr>
          <w:rFonts w:hint="eastAsia" w:ascii="宋体" w:hAnsi="宋体"/>
          <w:b/>
          <w:sz w:val="28"/>
          <w:szCs w:val="28"/>
        </w:rPr>
        <w:t>地址：天津市红桥区复兴路</w:t>
      </w:r>
      <w:r>
        <w:rPr>
          <w:rFonts w:hint="eastAsia" w:ascii="宋体" w:hAnsi="宋体"/>
          <w:b/>
          <w:sz w:val="28"/>
          <w:szCs w:val="28"/>
          <w:lang w:val="en-US" w:eastAsia="zh-CN"/>
        </w:rPr>
        <w:t>11号</w:t>
      </w:r>
    </w:p>
    <w:p>
      <w:pPr>
        <w:spacing w:line="360" w:lineRule="auto"/>
        <w:ind w:firstLine="2642" w:firstLineChars="940"/>
        <w:rPr>
          <w:rFonts w:ascii="宋体" w:hAnsi="宋体"/>
          <w:b/>
          <w:sz w:val="28"/>
          <w:szCs w:val="28"/>
        </w:rPr>
      </w:pPr>
      <w:r>
        <w:rPr>
          <w:rFonts w:hint="eastAsia" w:ascii="宋体" w:hAnsi="宋体"/>
          <w:b/>
          <w:sz w:val="28"/>
          <w:szCs w:val="28"/>
        </w:rPr>
        <w:t>邮编：300121</w:t>
      </w:r>
    </w:p>
    <w:p>
      <w:pPr>
        <w:spacing w:line="360" w:lineRule="auto"/>
        <w:jc w:val="center"/>
        <w:rPr>
          <w:rFonts w:ascii="宋体" w:hAnsi="宋体"/>
          <w:b/>
          <w:sz w:val="52"/>
          <w:szCs w:val="52"/>
        </w:rPr>
      </w:pPr>
    </w:p>
    <w:p/>
    <w:p>
      <w:pPr>
        <w:sectPr>
          <w:footerReference r:id="rId4" w:type="default"/>
          <w:pgSz w:w="11906" w:h="16838"/>
          <w:pgMar w:top="1440" w:right="1800" w:bottom="1440" w:left="1800" w:header="851" w:footer="992" w:gutter="0"/>
          <w:pgNumType w:start="1"/>
          <w:cols w:space="720" w:num="1"/>
          <w:docGrid w:type="lines" w:linePitch="312" w:charSpace="0"/>
        </w:sectPr>
      </w:pPr>
    </w:p>
    <w:p>
      <w:pPr>
        <w:jc w:val="center"/>
        <w:rPr>
          <w:rFonts w:hint="eastAsia" w:ascii="黑体" w:hAnsi="黑体" w:eastAsia="黑体" w:cs="黑体"/>
          <w:i w:val="0"/>
          <w:caps w:val="0"/>
          <w:color w:val="auto"/>
          <w:spacing w:val="0"/>
          <w:sz w:val="32"/>
          <w:szCs w:val="32"/>
          <w:shd w:val="clear" w:color="auto" w:fill="FFFFFF"/>
        </w:rPr>
      </w:pPr>
      <w:r>
        <w:rPr>
          <w:rFonts w:hint="eastAsia" w:ascii="黑体" w:hAnsi="黑体" w:eastAsia="黑体" w:cs="黑体"/>
          <w:i w:val="0"/>
          <w:caps w:val="0"/>
          <w:color w:val="auto"/>
          <w:spacing w:val="0"/>
          <w:sz w:val="32"/>
          <w:szCs w:val="32"/>
          <w:shd w:val="clear" w:color="auto" w:fill="FFFFFF"/>
        </w:rPr>
        <w:t>利用“人教数字校园”平台</w:t>
      </w:r>
    </w:p>
    <w:p>
      <w:pPr>
        <w:jc w:val="center"/>
        <w:rPr>
          <w:rFonts w:hint="eastAsia" w:ascii="黑体" w:hAnsi="黑体" w:eastAsia="黑体" w:cs="黑体"/>
          <w:color w:val="auto"/>
          <w:sz w:val="32"/>
          <w:szCs w:val="32"/>
          <w:lang w:val="en-US" w:eastAsia="zh-CN"/>
        </w:rPr>
      </w:pPr>
      <w:bookmarkStart w:id="0" w:name="_GoBack"/>
      <w:bookmarkEnd w:id="0"/>
      <w:r>
        <w:rPr>
          <w:rFonts w:hint="eastAsia" w:ascii="黑体" w:hAnsi="黑体" w:eastAsia="黑体" w:cs="黑体"/>
          <w:i w:val="0"/>
          <w:caps w:val="0"/>
          <w:color w:val="auto"/>
          <w:spacing w:val="0"/>
          <w:sz w:val="32"/>
          <w:szCs w:val="32"/>
          <w:shd w:val="clear" w:color="auto" w:fill="FFFFFF"/>
        </w:rPr>
        <w:t xml:space="preserve"> 打开初中生物个性化学习的大门</w:t>
      </w:r>
    </w:p>
    <w:p>
      <w:pPr>
        <w:spacing w:line="360" w:lineRule="auto"/>
        <w:rPr>
          <w:rFonts w:hint="eastAsia" w:ascii="宋体" w:hAnsi="宋体" w:cs="宋体"/>
          <w:szCs w:val="21"/>
          <w:lang w:eastAsia="zh-CN"/>
        </w:rPr>
      </w:pPr>
      <w:r>
        <w:rPr>
          <w:rFonts w:hint="eastAsia"/>
          <w:sz w:val="36"/>
          <w:szCs w:val="36"/>
          <w:lang w:val="en-US" w:eastAsia="zh-CN"/>
        </w:rPr>
        <w:t xml:space="preserve">   </w:t>
      </w:r>
      <w:r>
        <w:rPr>
          <w:rFonts w:hint="eastAsia" w:ascii="宋体" w:hAnsi="宋体" w:cs="宋体"/>
          <w:szCs w:val="21"/>
        </w:rPr>
        <w:t>摘要：数字校园是以“互联网+”的思维方式和大数据、云计算等新一代信息技术打造的智能、高效的资源平台，以知识、信息共享为手段，强调分享、互动合作的精神，是智能化、网络化、数字化有机结合的新型个性化教育环境。这种开放又新型的教育模式提供了适于学习者个性化成长和发展需求的学习环境和自主选择多种试听媒体组合的学习资源、并且能够创新的运用资源并组合资源。教师利用此平台系统进行拓宽教学资源，预知学情，整合教学设计，达到促进学生个性化发展需求的良好媒介。</w:t>
      </w:r>
    </w:p>
    <w:p>
      <w:pPr>
        <w:spacing w:line="360" w:lineRule="auto"/>
        <w:rPr>
          <w:rFonts w:hint="eastAsia" w:ascii="宋体" w:hAnsi="宋体" w:cs="宋体"/>
          <w:szCs w:val="21"/>
        </w:rPr>
      </w:pPr>
    </w:p>
    <w:p>
      <w:pPr>
        <w:spacing w:line="360" w:lineRule="auto"/>
        <w:rPr>
          <w:rFonts w:hint="eastAsia" w:ascii="宋体" w:hAnsi="宋体" w:cs="宋体"/>
          <w:szCs w:val="21"/>
          <w:lang w:eastAsia="zh-CN"/>
        </w:rPr>
      </w:pPr>
      <w:r>
        <w:rPr>
          <w:rFonts w:hint="eastAsia" w:ascii="宋体" w:hAnsi="宋体" w:cs="宋体"/>
          <w:szCs w:val="21"/>
        </w:rPr>
        <w:t>［关键词］</w:t>
      </w:r>
      <w:r>
        <w:rPr>
          <w:rFonts w:hint="eastAsia" w:ascii="宋体" w:hAnsi="宋体" w:cs="宋体"/>
          <w:szCs w:val="21"/>
          <w:lang w:eastAsia="zh-CN"/>
        </w:rPr>
        <w:t>人教数字校园平台</w:t>
      </w:r>
      <w:r>
        <w:rPr>
          <w:rFonts w:hint="eastAsia" w:ascii="宋体" w:hAnsi="宋体" w:cs="宋体"/>
          <w:szCs w:val="21"/>
        </w:rPr>
        <w:t>；初中</w:t>
      </w:r>
      <w:r>
        <w:rPr>
          <w:rFonts w:hint="eastAsia" w:ascii="宋体" w:hAnsi="宋体" w:cs="宋体"/>
          <w:szCs w:val="21"/>
          <w:lang w:eastAsia="zh-CN"/>
        </w:rPr>
        <w:t>生物教学</w:t>
      </w:r>
      <w:r>
        <w:rPr>
          <w:rFonts w:hint="eastAsia" w:ascii="宋体" w:hAnsi="宋体" w:cs="宋体"/>
          <w:szCs w:val="21"/>
        </w:rPr>
        <w:t>；</w:t>
      </w:r>
      <w:r>
        <w:rPr>
          <w:rFonts w:hint="eastAsia" w:ascii="宋体" w:hAnsi="宋体" w:cs="宋体"/>
          <w:szCs w:val="21"/>
          <w:lang w:eastAsia="zh-CN"/>
        </w:rPr>
        <w:t>学生个性化发展</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仿宋" w:hAnsi="仿宋" w:eastAsia="仿宋"/>
          <w:bCs/>
          <w:sz w:val="30"/>
          <w:szCs w:val="30"/>
          <w:lang w:val="en-US" w:eastAsia="zh-CN"/>
        </w:rPr>
      </w:pPr>
      <w:r>
        <w:rPr>
          <w:rFonts w:hint="eastAsia" w:ascii="仿宋" w:hAnsi="仿宋" w:eastAsia="仿宋"/>
          <w:bCs/>
          <w:sz w:val="30"/>
          <w:szCs w:val="30"/>
          <w:lang w:val="en-US" w:eastAsia="zh-CN"/>
        </w:rPr>
        <w:t xml:space="preserve">  </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仿宋" w:hAnsi="仿宋" w:eastAsia="仿宋"/>
          <w:bCs/>
          <w:sz w:val="30"/>
          <w:szCs w:val="30"/>
          <w:lang w:val="en-US" w:eastAsia="zh-CN"/>
        </w:rPr>
      </w:pP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仿宋" w:hAnsi="仿宋" w:eastAsia="仿宋"/>
          <w:bCs/>
          <w:sz w:val="30"/>
          <w:szCs w:val="30"/>
          <w:lang w:val="en-US" w:eastAsia="zh-CN"/>
        </w:rPr>
        <w:t xml:space="preserve">  </w:t>
      </w:r>
      <w:r>
        <w:rPr>
          <w:rFonts w:hint="eastAsia" w:ascii="宋体" w:hAnsi="宋体" w:eastAsia="宋体" w:cs="宋体"/>
          <w:i w:val="0"/>
          <w:caps w:val="0"/>
          <w:color w:val="auto"/>
          <w:spacing w:val="0"/>
          <w:sz w:val="28"/>
          <w:szCs w:val="28"/>
        </w:rPr>
        <w:t>人教数字校园（http:// www. pepszxy. com）是以学习论、课程论、教学论、现代教育技术学等作为理论指导，采用大数据分析、整合教学资源、融合各种媒体资源，针对个性化学习需求和多层次教学的数字化校园解决方案。</w:t>
      </w:r>
    </w:p>
    <w:p>
      <w:pPr>
        <w:widowControl w:val="0"/>
        <w:wordWrap/>
        <w:adjustRightInd/>
        <w:snapToGrid/>
        <w:spacing w:line="240" w:lineRule="auto"/>
        <w:ind w:left="0" w:leftChars="0" w:right="0"/>
        <w:jc w:val="center"/>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kern w:val="2"/>
          <w:sz w:val="28"/>
          <w:szCs w:val="28"/>
          <w:lang w:val="en-US" w:eastAsia="zh-CN" w:bidi="ar-SA"/>
        </w:rPr>
        <w:pict>
          <v:shape id="图片 1" o:spid="_x0000_s1027" type="#_x0000_t75" style="height:150pt;width:316.8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   </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cs="宋体"/>
          <w:bCs/>
          <w:color w:val="auto"/>
          <w:sz w:val="28"/>
          <w:szCs w:val="28"/>
          <w:lang w:val="en-US" w:eastAsia="zh-CN"/>
        </w:rPr>
        <w:t xml:space="preserve">  </w:t>
      </w:r>
      <w:r>
        <w:rPr>
          <w:rFonts w:hint="eastAsia" w:ascii="宋体" w:hAnsi="宋体" w:eastAsia="宋体" w:cs="宋体"/>
          <w:i w:val="0"/>
          <w:caps w:val="0"/>
          <w:color w:val="auto"/>
          <w:spacing w:val="0"/>
          <w:sz w:val="28"/>
          <w:szCs w:val="28"/>
        </w:rPr>
        <w:t>国家中长期教育改革和发展规划纲要（2010-2020年）中指出，“信息技术对教育发展具有深远的影响，把教育信息化纳入国家信息化发展整体战略，推进数字化校园建设，实现多种方式接入互联网”近年来，普教系统在推进教育信息化及促进优质教育资源均衡发展上取得了突出的成绩和效果，教育信息化的核心是教学信息化，教学信息化就是要使教学策略信息化、学习方式现代化。 信息引领着教育的未来。</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      </w:t>
      </w:r>
    </w:p>
    <w:p>
      <w:pPr>
        <w:widowControl w:val="0"/>
        <w:wordWrap/>
        <w:adjustRightInd/>
        <w:snapToGrid/>
        <w:spacing w:line="240" w:lineRule="auto"/>
        <w:ind w:left="0" w:leftChars="0" w:right="0"/>
        <w:jc w:val="center"/>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kern w:val="2"/>
          <w:sz w:val="28"/>
          <w:szCs w:val="28"/>
          <w:lang w:val="en-US" w:eastAsia="zh-CN" w:bidi="ar-SA"/>
        </w:rPr>
        <w:pict>
          <v:shape id="图片 7" o:spid="_x0000_s1028" type="#_x0000_t75" style="height:209.75pt;width:286.9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    </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right="0"/>
        <w:textAlignment w:val="baseline"/>
        <w:rPr>
          <w:rFonts w:hint="eastAsia" w:ascii="宋体" w:hAnsi="宋体" w:eastAsia="宋体" w:cs="宋体"/>
          <w:i w:val="0"/>
          <w:caps w:val="0"/>
          <w:color w:val="auto"/>
          <w:spacing w:val="0"/>
          <w:sz w:val="28"/>
          <w:szCs w:val="28"/>
        </w:rPr>
      </w:pPr>
      <w:r>
        <w:rPr>
          <w:rFonts w:hint="eastAsia" w:ascii="宋体" w:hAnsi="宋体" w:cs="宋体"/>
          <w:i w:val="0"/>
          <w:caps w:val="0"/>
          <w:color w:val="auto"/>
          <w:spacing w:val="0"/>
          <w:sz w:val="28"/>
          <w:szCs w:val="28"/>
          <w:lang w:val="en-US" w:eastAsia="zh-CN"/>
        </w:rPr>
        <w:t xml:space="preserve">     </w:t>
      </w:r>
      <w:r>
        <w:rPr>
          <w:rFonts w:hint="eastAsia" w:ascii="宋体" w:hAnsi="宋体" w:eastAsia="宋体" w:cs="宋体"/>
          <w:i w:val="0"/>
          <w:caps w:val="0"/>
          <w:color w:val="auto"/>
          <w:spacing w:val="0"/>
          <w:sz w:val="28"/>
          <w:szCs w:val="28"/>
        </w:rPr>
        <w:t>人教数字校园平台主要提供教师的备课系统、授课系统、电子黑板，个人空间等辅助教学，为教师提供丰富的有助于促进学生个性化成长的教学资源、是资源共享的平台。 以下是我在教学过程中的应用策略：</w:t>
      </w:r>
    </w:p>
    <w:tbl>
      <w:tblPr>
        <w:tblStyle w:val="7"/>
        <w:tblpPr w:leftFromText="180" w:rightFromText="180" w:vertAnchor="text" w:horzAnchor="page" w:tblpX="2006" w:tblpY="39"/>
        <w:tblOverlap w:val="never"/>
        <w:tblW w:w="8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481"/>
        <w:gridCol w:w="468"/>
        <w:gridCol w:w="1855"/>
        <w:gridCol w:w="2148"/>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exact"/>
        </w:trPr>
        <w:tc>
          <w:tcPr>
            <w:tcW w:w="1100"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时段</w:t>
            </w:r>
          </w:p>
        </w:tc>
        <w:tc>
          <w:tcPr>
            <w:tcW w:w="1949" w:type="dxa"/>
            <w:gridSpan w:val="2"/>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学生行为</w:t>
            </w:r>
          </w:p>
        </w:tc>
        <w:tc>
          <w:tcPr>
            <w:tcW w:w="1855"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教学步骤</w:t>
            </w: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教师行为</w:t>
            </w:r>
          </w:p>
        </w:tc>
        <w:tc>
          <w:tcPr>
            <w:tcW w:w="1073"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学习方式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exact"/>
        </w:trPr>
        <w:tc>
          <w:tcPr>
            <w:tcW w:w="1100"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课前</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先学后教</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以学定教</w:t>
            </w: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学生学会阅读</w:t>
            </w:r>
          </w:p>
        </w:tc>
        <w:tc>
          <w:tcPr>
            <w:tcW w:w="468"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行成</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于思</w:t>
            </w:r>
          </w:p>
        </w:tc>
        <w:tc>
          <w:tcPr>
            <w:tcW w:w="1855"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学情调查</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确定预习作业</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指导完成预习性作业</w:t>
            </w: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编写学案，确定学习任务</w:t>
            </w:r>
          </w:p>
        </w:tc>
        <w:tc>
          <w:tcPr>
            <w:tcW w:w="1073"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预学</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个人行为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exact"/>
        </w:trPr>
        <w:tc>
          <w:tcPr>
            <w:tcW w:w="1100"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理解归纳</w:t>
            </w:r>
          </w:p>
        </w:tc>
        <w:tc>
          <w:tcPr>
            <w:tcW w:w="468"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855"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提出预习要求</w:t>
            </w:r>
          </w:p>
        </w:tc>
        <w:tc>
          <w:tcPr>
            <w:tcW w:w="1073"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exact"/>
        </w:trPr>
        <w:tc>
          <w:tcPr>
            <w:tcW w:w="1100"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完成预习性作业</w:t>
            </w:r>
          </w:p>
        </w:tc>
        <w:tc>
          <w:tcPr>
            <w:tcW w:w="468"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855"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预习方法指导</w:t>
            </w:r>
          </w:p>
        </w:tc>
        <w:tc>
          <w:tcPr>
            <w:tcW w:w="1073"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exact"/>
        </w:trPr>
        <w:tc>
          <w:tcPr>
            <w:tcW w:w="1100"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提出质疑</w:t>
            </w:r>
          </w:p>
        </w:tc>
        <w:tc>
          <w:tcPr>
            <w:tcW w:w="468"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855"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批改预习性作业</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二备提取导学重点</w:t>
            </w:r>
          </w:p>
        </w:tc>
        <w:tc>
          <w:tcPr>
            <w:tcW w:w="1073"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exact"/>
        </w:trPr>
        <w:tc>
          <w:tcPr>
            <w:tcW w:w="1100"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  中</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教学并重</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学用结合</w:t>
            </w: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带问学习</w:t>
            </w:r>
          </w:p>
        </w:tc>
        <w:tc>
          <w:tcPr>
            <w:tcW w:w="468"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以知</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导行</w:t>
            </w:r>
          </w:p>
        </w:tc>
        <w:tc>
          <w:tcPr>
            <w:tcW w:w="1855"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明确任务</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反馈、链接、迁移</w:t>
            </w: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学情反馈，明确目标</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提出任务</w:t>
            </w:r>
          </w:p>
        </w:tc>
        <w:tc>
          <w:tcPr>
            <w:tcW w:w="1073"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互学</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小组行为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 w:hRule="exact"/>
        </w:trPr>
        <w:tc>
          <w:tcPr>
            <w:tcW w:w="1100"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分工配合</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倾听理解</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互动对话</w:t>
            </w:r>
          </w:p>
        </w:tc>
        <w:tc>
          <w:tcPr>
            <w:tcW w:w="468"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855"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小组学习</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明确分工，合作互补</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有序组织</w:t>
            </w: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点拨、了解</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帮助、协调</w:t>
            </w:r>
          </w:p>
        </w:tc>
        <w:tc>
          <w:tcPr>
            <w:tcW w:w="1073"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exact"/>
        </w:trPr>
        <w:tc>
          <w:tcPr>
            <w:tcW w:w="1100"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学习汇报</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小组补充</w:t>
            </w:r>
          </w:p>
        </w:tc>
        <w:tc>
          <w:tcPr>
            <w:tcW w:w="468"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855"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展学精讲</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呵护亮点，导出重点</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理解难点</w:t>
            </w: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分组展示，典型推广</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精讲提升</w:t>
            </w:r>
          </w:p>
        </w:tc>
        <w:tc>
          <w:tcPr>
            <w:tcW w:w="1073" w:type="dxa"/>
            <w:vMerge w:val="restart"/>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共学</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班级行为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6" w:hRule="exact"/>
        </w:trPr>
        <w:tc>
          <w:tcPr>
            <w:tcW w:w="1100"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学以致用</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深入理解</w:t>
            </w:r>
          </w:p>
        </w:tc>
        <w:tc>
          <w:tcPr>
            <w:tcW w:w="468"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c>
          <w:tcPr>
            <w:tcW w:w="1855"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检测评价</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完成课堂检测性作业</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反馈矫正、课堂小结</w:t>
            </w: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学用结合，知行相应</w:t>
            </w:r>
          </w:p>
        </w:tc>
        <w:tc>
          <w:tcPr>
            <w:tcW w:w="1073" w:type="dxa"/>
            <w:vMerge w:val="continue"/>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4" w:hRule="exact"/>
        </w:trPr>
        <w:tc>
          <w:tcPr>
            <w:tcW w:w="1100"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课  后</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教学相应</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以教导学</w:t>
            </w:r>
          </w:p>
        </w:tc>
        <w:tc>
          <w:tcPr>
            <w:tcW w:w="1481"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延伸训练</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合理发展</w:t>
            </w:r>
          </w:p>
        </w:tc>
        <w:tc>
          <w:tcPr>
            <w:tcW w:w="46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知而能行</w:t>
            </w:r>
          </w:p>
        </w:tc>
        <w:tc>
          <w:tcPr>
            <w:tcW w:w="1855"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拓展延伸</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多样落实拓展性作业</w:t>
            </w:r>
          </w:p>
        </w:tc>
        <w:tc>
          <w:tcPr>
            <w:tcW w:w="2148"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分层布置，弹性要求</w:t>
            </w:r>
          </w:p>
        </w:tc>
        <w:tc>
          <w:tcPr>
            <w:tcW w:w="1073" w:type="dxa"/>
            <w:vAlign w:val="center"/>
          </w:tcPr>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个人或</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小组行为</w:t>
            </w:r>
          </w:p>
        </w:tc>
      </w:tr>
    </w:tbl>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lang w:val="en-US" w:eastAsia="zh-CN"/>
        </w:rPr>
      </w:pP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eastAsia="宋体" w:cs="宋体"/>
          <w:i w:val="0"/>
          <w:caps w:val="0"/>
          <w:color w:val="auto"/>
          <w:spacing w:val="0"/>
          <w:sz w:val="28"/>
          <w:szCs w:val="28"/>
        </w:rPr>
        <w:t>一、利用人教数字教材app布置前置性作业</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eastAsia="宋体" w:cs="宋体"/>
          <w:i w:val="0"/>
          <w:caps w:val="0"/>
          <w:color w:val="auto"/>
          <w:spacing w:val="0"/>
          <w:sz w:val="28"/>
          <w:szCs w:val="28"/>
        </w:rPr>
        <w:t>前置性作业指的是在学生要在获取新知前，教师通过教学资源设置与课程有关的问题，学生以自己的实践和经验去主动探索问题，最后对问题进行解答。通过这一过程促进学生养成自主学习的优良习惯，对激发学生学习兴趣和提高学习效率有着显著地促进作用。</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cs="宋体"/>
          <w:i w:val="0"/>
          <w:caps w:val="0"/>
          <w:color w:val="auto"/>
          <w:spacing w:val="0"/>
          <w:sz w:val="28"/>
          <w:szCs w:val="28"/>
          <w:lang w:val="en-US" w:eastAsia="zh-CN"/>
        </w:rPr>
        <w:t xml:space="preserve">  </w:t>
      </w:r>
      <w:r>
        <w:rPr>
          <w:rFonts w:hint="eastAsia" w:ascii="宋体" w:hAnsi="宋体" w:eastAsia="宋体" w:cs="宋体"/>
          <w:i w:val="0"/>
          <w:caps w:val="0"/>
          <w:color w:val="auto"/>
          <w:spacing w:val="0"/>
          <w:sz w:val="28"/>
          <w:szCs w:val="28"/>
        </w:rPr>
        <w:t>在初中生物课堂中，运用 “先学后教，以学定教”的教学理念进行教学是提高学生个性化成长必不可少的环节，也就是“前置性作业”。以往的布置前置性作业教师通常采用的方法有：</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cs="宋体"/>
          <w:i w:val="0"/>
          <w:caps w:val="0"/>
          <w:color w:val="auto"/>
          <w:spacing w:val="0"/>
          <w:sz w:val="28"/>
          <w:szCs w:val="28"/>
          <w:lang w:val="en-US" w:eastAsia="zh-CN"/>
        </w:rPr>
        <w:t xml:space="preserve">  </w:t>
      </w:r>
      <w:r>
        <w:rPr>
          <w:rFonts w:hint="eastAsia" w:ascii="宋体" w:hAnsi="宋体" w:eastAsia="宋体" w:cs="宋体"/>
          <w:i w:val="0"/>
          <w:caps w:val="0"/>
          <w:color w:val="auto"/>
          <w:spacing w:val="0"/>
          <w:sz w:val="28"/>
          <w:szCs w:val="28"/>
        </w:rPr>
        <w:t>融入教材式的前置性作业，例如： 将本节课中的重点概念，原理，结论用填空式的小练习呈现给学生们，这样的方式会另学生对生物学知识的预习停留在表面，不能达到理想的学习效果，更加会另学生失去对课堂的新奇心，失去学习生物知识的乐趣。</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cs="宋体"/>
          <w:i w:val="0"/>
          <w:caps w:val="0"/>
          <w:color w:val="auto"/>
          <w:spacing w:val="0"/>
          <w:sz w:val="28"/>
          <w:szCs w:val="28"/>
          <w:lang w:val="en-US" w:eastAsia="zh-CN"/>
        </w:rPr>
        <w:t xml:space="preserve">  </w:t>
      </w:r>
      <w:r>
        <w:rPr>
          <w:rFonts w:hint="eastAsia" w:ascii="宋体" w:hAnsi="宋体" w:eastAsia="宋体" w:cs="宋体"/>
          <w:i w:val="0"/>
          <w:caps w:val="0"/>
          <w:color w:val="auto"/>
          <w:spacing w:val="0"/>
          <w:sz w:val="28"/>
          <w:szCs w:val="28"/>
        </w:rPr>
        <w:t>联系生活的前置性作业，从生物课程标准来看，教学应更关注学生已有的生活经验，更强调学生的学习主动性，建立课本知识与生活经验接触的平台，助力学生在探索交流中较好的掌握生物学知识以及学习方法，促进学生可持续学习。 但是由于个别同学的学习习惯较差，没有耐心，一些观察日记类或者生活小实验类的作业难以完成，所以针对这类学生来说，前置性作业的布置有些学生完成起来会较为困难。</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cs="宋体"/>
          <w:i w:val="0"/>
          <w:caps w:val="0"/>
          <w:color w:val="auto"/>
          <w:spacing w:val="0"/>
          <w:sz w:val="28"/>
          <w:szCs w:val="28"/>
          <w:lang w:val="en-US" w:eastAsia="zh-CN"/>
        </w:rPr>
        <w:t xml:space="preserve">  </w:t>
      </w:r>
      <w:r>
        <w:rPr>
          <w:rFonts w:hint="eastAsia" w:ascii="宋体" w:hAnsi="宋体" w:eastAsia="宋体" w:cs="宋体"/>
          <w:i w:val="0"/>
          <w:caps w:val="0"/>
          <w:color w:val="auto"/>
          <w:spacing w:val="0"/>
          <w:sz w:val="28"/>
          <w:szCs w:val="28"/>
        </w:rPr>
        <w:t>知识延展类的前置性作业，对一节课而言，课堂教学知识的有效延展有着点睛的作用，还有助于激发学生对获取知识的好奇心和持续学习的潜能，进而高效地培养学生形成科学的态度和价值观， 但是学生获取知识的途径很多，所以这样的前置性作业有时会耗费学生过多的经历去查阅资料，就容易使学生产生敷衍了事或者半途而废的想法，不能起到提高学生发散思维能力的培养。</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   </w:t>
      </w:r>
      <w:r>
        <w:rPr>
          <w:rFonts w:hint="eastAsia" w:ascii="宋体" w:hAnsi="宋体" w:cs="宋体"/>
          <w:bCs/>
          <w:color w:val="auto"/>
          <w:sz w:val="28"/>
          <w:szCs w:val="28"/>
          <w:lang w:val="en-US" w:eastAsia="zh-CN"/>
        </w:rPr>
        <w:t xml:space="preserve"> </w:t>
      </w:r>
      <w:r>
        <w:rPr>
          <w:rFonts w:hint="eastAsia" w:ascii="宋体" w:hAnsi="宋体" w:eastAsia="宋体" w:cs="宋体"/>
          <w:bCs/>
          <w:color w:val="auto"/>
          <w:sz w:val="28"/>
          <w:szCs w:val="28"/>
          <w:lang w:val="en-US" w:eastAsia="zh-CN"/>
        </w:rPr>
        <w:t>为了解决这一难题，我发现用人教数字教材APP布置前置性作业的效果较好，我以人教版八年级生物上册第五单元第二章《动物的运动》为例简要说明。</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kern w:val="2"/>
          <w:sz w:val="28"/>
          <w:szCs w:val="28"/>
          <w:lang w:val="en-US" w:eastAsia="zh-CN" w:bidi="ar-SA"/>
        </w:rPr>
        <w:pict>
          <v:shape id="图片 10" o:spid="_x0000_s1029" type="#_x0000_t75" style="height:250.95pt;width:130.0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宋体" w:hAnsi="宋体" w:eastAsia="宋体" w:cs="宋体"/>
          <w:bCs/>
          <w:color w:val="auto"/>
          <w:kern w:val="2"/>
          <w:sz w:val="28"/>
          <w:szCs w:val="28"/>
          <w:lang w:val="en-US" w:eastAsia="zh-CN" w:bidi="ar-SA"/>
        </w:rPr>
        <w:pict>
          <v:shape id="图片 9" o:spid="_x0000_s1030" type="#_x0000_t75" style="height:253.35pt;width:127.7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eastAsia" w:ascii="宋体" w:hAnsi="宋体" w:eastAsia="宋体" w:cs="宋体"/>
          <w:bCs/>
          <w:color w:val="auto"/>
          <w:kern w:val="2"/>
          <w:sz w:val="28"/>
          <w:szCs w:val="28"/>
          <w:lang w:val="en-US" w:eastAsia="zh-CN" w:bidi="ar-SA"/>
        </w:rPr>
        <w:pict>
          <v:shape id="图片 7" o:spid="_x0000_s1031" type="#_x0000_t75" style="height:253.7pt;width:142.6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   学生可以利用电子设备下载人教数字教材APP进行碎片式时间的学习，可以自主式阅读教材内容（电子书包），也可以根据教师布置的深入教材式的前置性作业在电子书上进行圈写，有质疑的地方可以截屏保存并及时发送给教师，有利于教师了解学生固有的知识误区，并制定相应的课堂解决方案；电子书包里嵌入了相对应的视频，图片，拓展知识等资源，更加利于学生理解本节课涉及的生物学知识，解决了学生查阅资料的盲目性，为学生进一步提升自己知识储备指明了方向；《动物的运动》一节还配备了一些学生交互式学习的学习资源，如下图：</w:t>
      </w:r>
    </w:p>
    <w:p>
      <w:pPr>
        <w:widowControl w:val="0"/>
        <w:wordWrap/>
        <w:adjustRightInd/>
        <w:snapToGrid/>
        <w:spacing w:line="240" w:lineRule="auto"/>
        <w:ind w:left="0" w:leftChars="0" w:right="0"/>
        <w:jc w:val="center"/>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kern w:val="2"/>
          <w:sz w:val="28"/>
          <w:szCs w:val="28"/>
          <w:lang w:val="en-US" w:eastAsia="zh-CN" w:bidi="ar-SA"/>
        </w:rPr>
        <w:pict>
          <v:shape id="图片 6" o:spid="_x0000_s1032" type="#_x0000_t75" style="height:155.8pt;width:197.2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hint="eastAsia" w:ascii="宋体" w:hAnsi="宋体" w:eastAsia="宋体" w:cs="宋体"/>
          <w:bCs/>
          <w:color w:val="auto"/>
          <w:kern w:val="2"/>
          <w:sz w:val="28"/>
          <w:szCs w:val="28"/>
          <w:lang w:val="en-US" w:eastAsia="zh-CN" w:bidi="ar-SA"/>
        </w:rPr>
        <w:pict>
          <v:shape id="图片 5" o:spid="_x0000_s1033" type="#_x0000_t75" style="height:154.9pt;width:180.8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widowControl w:val="0"/>
        <w:wordWrap/>
        <w:adjustRightInd/>
        <w:snapToGrid/>
        <w:spacing w:line="240" w:lineRule="auto"/>
        <w:ind w:left="0" w:leftChars="0" w:right="0"/>
        <w:jc w:val="center"/>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kern w:val="2"/>
          <w:sz w:val="28"/>
          <w:szCs w:val="28"/>
          <w:lang w:val="en-US" w:eastAsia="zh-CN" w:bidi="ar-SA"/>
        </w:rPr>
        <w:pict>
          <v:shape id="图片 4" o:spid="_x0000_s1034" type="#_x0000_t75" style="height:128.45pt;width:140.9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ascii="宋体" w:hAnsi="宋体" w:eastAsia="宋体" w:cs="宋体"/>
          <w:bCs/>
          <w:color w:val="auto"/>
          <w:kern w:val="2"/>
          <w:sz w:val="28"/>
          <w:szCs w:val="28"/>
          <w:lang w:val="en-US" w:eastAsia="zh-CN" w:bidi="ar-SA"/>
        </w:rPr>
        <w:pict>
          <v:shape id="图片 2" o:spid="_x0000_s1035" type="#_x0000_t75" style="height:138pt;width:130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ascii="宋体" w:hAnsi="宋体" w:eastAsia="宋体" w:cs="宋体"/>
          <w:bCs/>
          <w:color w:val="auto"/>
          <w:kern w:val="2"/>
          <w:sz w:val="28"/>
          <w:szCs w:val="28"/>
          <w:lang w:val="en-US" w:eastAsia="zh-CN" w:bidi="ar-SA"/>
        </w:rPr>
        <w:pict>
          <v:shape id="图片 3" o:spid="_x0000_s1036" type="#_x0000_t75" style="height:122pt;width:142.1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 xml:space="preserve">    利用人教数字教材APP，教师给学生提供了一个互动交流的学习环境，组织学生自主学习，有助于教师掌握学生的学习盲点，有助于有的放矢的在课堂上进行互动交流，以此来达到因材施教，优化课堂教学的效果。</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二、利用人教数字校园平台进行备课</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eastAsia="宋体" w:cs="宋体"/>
          <w:bCs/>
          <w:color w:val="auto"/>
          <w:sz w:val="28"/>
          <w:szCs w:val="28"/>
          <w:lang w:val="en-US" w:eastAsia="zh-CN"/>
        </w:rPr>
        <w:t xml:space="preserve">  </w:t>
      </w:r>
      <w:r>
        <w:rPr>
          <w:rFonts w:hint="eastAsia" w:ascii="宋体" w:hAnsi="宋体" w:eastAsia="宋体" w:cs="宋体"/>
          <w:i w:val="0"/>
          <w:caps w:val="0"/>
          <w:color w:val="auto"/>
          <w:spacing w:val="0"/>
          <w:sz w:val="28"/>
          <w:szCs w:val="28"/>
        </w:rPr>
        <w:t>数字校园开放式的备课系统主要是一种为教师提供丰富的教育专题内容及资源共享的平台。其中包括了由多位教育教学专家共同设计并审定的资源，为教师的一线教学工作提供了方法性的指导。通过对现有资源的利用，教师可以借鉴顶级教育专家的教学思路和理念，融合自己任教学生的特点，制定符合学情的教学设计，是实现教育均衡、学生个性化成长的有效途径。</w:t>
      </w:r>
    </w:p>
    <w:p>
      <w:pPr>
        <w:pStyle w:val="3"/>
        <w:widowControl/>
        <w:pBdr>
          <w:top w:val="none" w:color="auto" w:sz="0" w:space="0"/>
          <w:left w:val="none" w:color="auto" w:sz="0" w:space="0"/>
          <w:bottom w:val="none" w:color="auto" w:sz="0" w:space="0"/>
          <w:right w:val="none" w:color="auto" w:sz="0" w:space="0"/>
        </w:pBdr>
        <w:spacing w:before="0" w:beforeAutospacing="0" w:after="0" w:afterAutospacing="0"/>
        <w:ind w:left="0" w:right="0" w:firstLine="300"/>
        <w:textAlignment w:val="baseline"/>
        <w:rPr>
          <w:rFonts w:hint="eastAsia" w:ascii="宋体" w:hAnsi="宋体" w:eastAsia="宋体" w:cs="宋体"/>
          <w:i w:val="0"/>
          <w:caps w:val="0"/>
          <w:color w:val="auto"/>
          <w:spacing w:val="0"/>
          <w:sz w:val="28"/>
          <w:szCs w:val="28"/>
        </w:rPr>
      </w:pPr>
      <w:r>
        <w:rPr>
          <w:rFonts w:hint="eastAsia" w:ascii="宋体" w:hAnsi="宋体" w:cs="宋体"/>
          <w:i w:val="0"/>
          <w:caps w:val="0"/>
          <w:color w:val="auto"/>
          <w:spacing w:val="0"/>
          <w:sz w:val="28"/>
          <w:szCs w:val="28"/>
          <w:lang w:val="en-US" w:eastAsia="zh-CN"/>
        </w:rPr>
        <w:t xml:space="preserve">  </w:t>
      </w:r>
      <w:r>
        <w:rPr>
          <w:rFonts w:hint="eastAsia" w:ascii="宋体" w:hAnsi="宋体" w:eastAsia="宋体" w:cs="宋体"/>
          <w:i w:val="0"/>
          <w:caps w:val="0"/>
          <w:color w:val="auto"/>
          <w:spacing w:val="0"/>
          <w:sz w:val="28"/>
          <w:szCs w:val="28"/>
        </w:rPr>
        <w:t>备课系统拥有开放而个性的备课环境，生物科学是一个不断探究的过程。新课程标准要求学生在初中阶段要形成一定的实验探究能力，帮助学生领悟科学的本质，力图改变学生的学习方式，引导学生勤动手、勤思考、主动参与，逐步培养学生获取新知识的能力、收集和处理科学信息的能力、交流与合作的能力以及分析和解决问题的能力等。课下我们需要进行大量的小组合作探究实验， 最后制作成的微课在课上进行展示，教师可根据课前掌握的学生前置性作业所暴露出来的问题或是根据自己的教学风格和教学需求，对系统提供的内容进行修改和编辑，独立完成课程设计、课件的组织与制作，并分享给其他教师使用。 在这样的背景下，教师更多通过活动组织、情感参与和方法引导，从而发挥提高课堂效率的作用。</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三、利用人教数字校园平台进行授课</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cs="宋体"/>
          <w:i w:val="0"/>
          <w:caps w:val="0"/>
          <w:color w:val="auto"/>
          <w:spacing w:val="0"/>
          <w:sz w:val="28"/>
          <w:szCs w:val="28"/>
          <w:shd w:val="clear" w:color="auto" w:fill="FFFFFF"/>
          <w:lang w:val="en-US" w:eastAsia="zh-CN"/>
        </w:rPr>
        <w:t xml:space="preserve">    </w:t>
      </w:r>
      <w:r>
        <w:rPr>
          <w:rFonts w:hint="eastAsia" w:ascii="宋体" w:hAnsi="宋体" w:eastAsia="宋体" w:cs="宋体"/>
          <w:i w:val="0"/>
          <w:caps w:val="0"/>
          <w:color w:val="auto"/>
          <w:spacing w:val="0"/>
          <w:sz w:val="28"/>
          <w:szCs w:val="28"/>
          <w:shd w:val="clear" w:color="auto" w:fill="FFFFFF"/>
        </w:rPr>
        <w:t>人教数字校园授课系统以电子课本为主体，包含课外知识、专题视频和练习题等拓展学习资源的资源库，以七年级上册第三单元第二章第三节《开花和结果》为例：</w:t>
      </w:r>
      <w:r>
        <w:rPr>
          <w:rFonts w:hint="eastAsia" w:ascii="宋体" w:hAnsi="宋体" w:eastAsia="宋体" w:cs="宋体"/>
          <w:bCs/>
          <w:color w:val="auto"/>
          <w:sz w:val="28"/>
          <w:szCs w:val="28"/>
          <w:lang w:val="en-US" w:eastAsia="zh-CN"/>
        </w:rPr>
        <w:t>以七年级上册第三单元第二章第三节《开花和结果》为例：</w:t>
      </w:r>
    </w:p>
    <w:p>
      <w:pPr>
        <w:widowControl w:val="0"/>
        <w:wordWrap/>
        <w:adjustRightInd/>
        <w:snapToGrid/>
        <w:spacing w:line="240" w:lineRule="auto"/>
        <w:ind w:left="0" w:leftChars="0" w:right="0"/>
        <w:textAlignment w:val="auto"/>
        <w:outlineLvl w:val="9"/>
        <w:rPr>
          <w:rFonts w:hint="eastAsia" w:ascii="宋体" w:hAnsi="宋体" w:eastAsia="宋体" w:cs="宋体"/>
          <w:bCs/>
          <w:color w:val="auto"/>
          <w:sz w:val="28"/>
          <w:szCs w:val="28"/>
          <w:lang w:val="en-US" w:eastAsia="zh-CN"/>
        </w:rPr>
      </w:pPr>
      <w:r>
        <w:rPr>
          <w:rFonts w:hint="eastAsia" w:ascii="宋体" w:hAnsi="宋体" w:eastAsia="宋体" w:cs="宋体"/>
          <w:bCs/>
          <w:color w:val="auto"/>
          <w:kern w:val="2"/>
          <w:sz w:val="28"/>
          <w:szCs w:val="28"/>
          <w:lang w:val="en-US" w:eastAsia="zh-CN" w:bidi="ar-SA"/>
        </w:rPr>
        <w:pict>
          <v:shape id="图片 11" o:spid="_x0000_s1037" type="#_x0000_t75" style="height:144.2pt;width:166.9pt;rotation:0f;" o:ole="f" fillcolor="#FFFFFF" filled="f" o:preferrelative="t" stroked="f" coordorigin="0,0" coordsize="21600,21600">
            <v:fill on="f" color2="#FFFFFF" focus="0%"/>
            <v:imagedata gain="65536f" blacklevel="0f" gamma="0" o:title="360截图-18181994" r:id="rId16"/>
            <o:lock v:ext="edit" position="f" selection="f" grouping="f" rotation="f" cropping="f" text="f" aspectratio="t"/>
            <w10:wrap type="none"/>
            <w10:anchorlock/>
          </v:shape>
        </w:pict>
      </w:r>
      <w:r>
        <w:rPr>
          <w:rFonts w:hint="eastAsia" w:ascii="宋体" w:hAnsi="宋体" w:eastAsia="宋体" w:cs="宋体"/>
          <w:bCs/>
          <w:color w:val="auto"/>
          <w:kern w:val="2"/>
          <w:sz w:val="28"/>
          <w:szCs w:val="28"/>
          <w:lang w:val="en-US" w:eastAsia="zh-CN" w:bidi="ar-SA"/>
        </w:rPr>
        <w:pict>
          <v:shape id="图片 12" o:spid="_x0000_s1038" type="#_x0000_t75" style="height:144.8pt;width:160.25pt;rotation:0f;" o:ole="f" fillcolor="#FFFFFF" filled="f" o:preferrelative="t" stroked="f" coordorigin="0,0" coordsize="21600,21600">
            <v:fill on="f" color2="#FFFFFF" focus="0%"/>
            <v:imagedata gain="65536f" blacklevel="0f" gamma="0" o:title="360截图-18126052" r:id="rId17"/>
            <o:lock v:ext="edit" position="f" selection="f" grouping="f" rotation="f" cropping="f" text="f" aspectratio="t"/>
            <w10:wrap type="none"/>
            <w10:anchorlock/>
          </v:shape>
        </w:pict>
      </w:r>
    </w:p>
    <w:p>
      <w:pPr>
        <w:widowControl w:val="0"/>
        <w:wordWrap/>
        <w:adjustRightInd/>
        <w:snapToGrid/>
        <w:spacing w:line="240" w:lineRule="auto"/>
        <w:ind w:left="0" w:leftChars="0" w:right="0"/>
        <w:textAlignment w:val="auto"/>
        <w:outlineLvl w:val="9"/>
        <w:rPr>
          <w:rFonts w:hint="eastAsia" w:ascii="宋体" w:hAnsi="宋体" w:eastAsia="宋体" w:cs="宋体"/>
          <w:bCs/>
          <w:sz w:val="28"/>
          <w:szCs w:val="28"/>
          <w:lang w:val="en-US" w:eastAsia="zh-CN"/>
        </w:rPr>
      </w:pPr>
      <w:r>
        <w:rPr>
          <w:rFonts w:hint="eastAsia" w:ascii="宋体" w:hAnsi="宋体" w:eastAsia="宋体" w:cs="宋体"/>
          <w:bCs/>
          <w:color w:val="auto"/>
          <w:sz w:val="28"/>
          <w:szCs w:val="28"/>
          <w:lang w:val="en-US" w:eastAsia="zh-CN"/>
        </w:rPr>
        <w:t xml:space="preserve">    教师通过前置性作业的学情反馈，明确教学目标，弱化学生通过自学就可以掌握的相关知识，提出新的任务，学生可以采取小组</w:t>
      </w:r>
      <w:r>
        <w:rPr>
          <w:rFonts w:hint="eastAsia" w:ascii="宋体" w:hAnsi="宋体" w:eastAsia="宋体" w:cs="宋体"/>
          <w:bCs/>
          <w:sz w:val="28"/>
          <w:szCs w:val="28"/>
          <w:lang w:val="en-US" w:eastAsia="zh-CN"/>
        </w:rPr>
        <w:t>互学的方式来扩展知识面，如：针对花的结构，书上给出的是桃花的结构，根据课前预习，学生可以自行掌握此知识点，那么，教师可以让学生从身边的熟悉的花入手，根据已学知识，制作其他花卉的结构分解模式图，用以检验课堂所学知识运用于实际生活的能力，课堂上新生成的质疑教师可以点拨、了解，帮助、协调，学生可以通过小组学习，合作互补，课堂上形成一种教学并重，学用结合的良好氛围。授课系统中电子教材和多媒体课件的有效对接，增强了师生的互动性，对于课堂上出现的生成性资源，教师得以及时反馈和矫正，真正实现以知导行的效果。</w:t>
      </w:r>
    </w:p>
    <w:p>
      <w:pPr>
        <w:widowControl w:val="0"/>
        <w:wordWrap/>
        <w:adjustRightInd/>
        <w:snapToGrid/>
        <w:spacing w:line="240" w:lineRule="auto"/>
        <w:ind w:left="0" w:leftChars="0" w:right="0"/>
        <w:textAlignment w:val="auto"/>
        <w:outlineLvl w:val="9"/>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四、利用人教数字校园平台进行拓展延伸，多样落实拓展性作业</w:t>
      </w:r>
    </w:p>
    <w:p>
      <w:pPr>
        <w:widowControl w:val="0"/>
        <w:wordWrap/>
        <w:adjustRightInd/>
        <w:snapToGrid/>
        <w:spacing w:line="240" w:lineRule="auto"/>
        <w:ind w:left="0" w:leftChars="0" w:right="0"/>
        <w:textAlignment w:val="auto"/>
        <w:outlineLvl w:val="9"/>
        <w:rPr>
          <w:rFonts w:hint="eastAsia" w:ascii="宋体" w:hAnsi="宋体" w:eastAsia="宋体" w:cs="宋体"/>
          <w:bCs/>
          <w:sz w:val="28"/>
          <w:szCs w:val="28"/>
          <w:lang w:val="en-US" w:eastAsia="zh-CN"/>
        </w:rPr>
      </w:pPr>
      <w:r>
        <w:rPr>
          <w:rFonts w:hint="eastAsia" w:ascii="宋体" w:hAnsi="宋体" w:eastAsia="宋体" w:cs="宋体"/>
          <w:bCs/>
          <w:kern w:val="2"/>
          <w:sz w:val="28"/>
          <w:szCs w:val="28"/>
          <w:lang w:val="en-US" w:eastAsia="zh-CN" w:bidi="ar-SA"/>
        </w:rPr>
        <w:pict>
          <v:shape id="图片 13" o:spid="_x0000_s1039" type="#_x0000_t75" style="height:62.7pt;width:415.2pt;rotation:0f;" o:ole="f" fillcolor="#FFFFFF" filled="f" o:preferrelative="t" stroked="f" coordorigin="0,0" coordsize="21600,21600">
            <v:fill on="f" color2="#FFFFFF" focus="0%"/>
            <v:imagedata gain="65536f" blacklevel="0f" gamma="0" o:title="360截图-20377739" r:id="rId18"/>
            <o:lock v:ext="edit" position="f" selection="f" grouping="f" rotation="f" cropping="f" text="f" aspectratio="t"/>
            <w10:wrap type="none"/>
            <w10:anchorlock/>
          </v:shape>
        </w:pict>
      </w:r>
    </w:p>
    <w:p>
      <w:pPr>
        <w:widowControl w:val="0"/>
        <w:wordWrap/>
        <w:adjustRightInd/>
        <w:snapToGrid/>
        <w:spacing w:line="240" w:lineRule="auto"/>
        <w:ind w:left="0" w:leftChars="0" w:right="0"/>
        <w:textAlignment w:val="auto"/>
        <w:outlineLvl w:val="9"/>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 xml:space="preserve">    教师根据课上学生的反馈可以采取课下多样的拓展性的活动，例如：可以就某个话题进行“帖子”式的交流，师生间，生生间在交流中碰撞中思维火花，取长补短，共同提高，也可以进行“竞赛”式的交流，教师可以根据学生课堂上的表现进行习题布置，习题提交后自动显示统计结果，教师可以截屏反馈，增加了学生的竞争意识。</w:t>
      </w:r>
    </w:p>
    <w:p>
      <w:pPr>
        <w:widowControl w:val="0"/>
        <w:wordWrap/>
        <w:adjustRightInd/>
        <w:snapToGrid/>
        <w:spacing w:line="240" w:lineRule="auto"/>
        <w:ind w:left="0" w:leftChars="0" w:right="0" w:firstLine="600" w:firstLineChars="200"/>
        <w:textAlignment w:val="auto"/>
        <w:outlineLvl w:val="9"/>
        <w:rPr>
          <w:rFonts w:hint="eastAsia" w:ascii="宋体" w:hAnsi="宋体" w:eastAsia="宋体" w:cs="宋体"/>
          <w:bCs/>
          <w:sz w:val="28"/>
          <w:szCs w:val="28"/>
          <w:lang w:val="en-US" w:eastAsia="zh-CN"/>
        </w:rPr>
      </w:pPr>
      <w:r>
        <w:rPr>
          <w:rFonts w:hint="eastAsia" w:ascii="宋体" w:hAnsi="宋体" w:eastAsia="宋体" w:cs="宋体"/>
          <w:bCs/>
          <w:sz w:val="28"/>
          <w:szCs w:val="28"/>
          <w:lang w:val="en-US" w:eastAsia="zh-CN"/>
        </w:rPr>
        <w:t>总之，在“互联网+”背景下教师的角色是需要转变成学习者、组织者、促进者和引导者，新技术在教育领域的应用，已成为教育之必然任务，而面对繁杂的工作，人教数字校园的平台为教师备授课节省了大量的时间，并作出了方向性的指引，为此，我会不断的去学习，不断的提升，探索平台与初中生物教学的有机结合的突破点。</w:t>
      </w:r>
    </w:p>
    <w:p>
      <w:pPr>
        <w:spacing w:line="400" w:lineRule="atLeast"/>
        <w:ind w:right="100"/>
        <w:rPr>
          <w:rFonts w:ascii="仿宋" w:hAnsi="仿宋" w:eastAsia="仿宋" w:cs="仿宋"/>
          <w:b/>
          <w:sz w:val="30"/>
          <w:szCs w:val="30"/>
        </w:rPr>
      </w:pPr>
      <w:r>
        <w:rPr>
          <w:rFonts w:hint="eastAsia" w:ascii="仿宋" w:hAnsi="仿宋" w:eastAsia="仿宋" w:cs="仿宋"/>
          <w:b/>
          <w:sz w:val="30"/>
          <w:szCs w:val="30"/>
        </w:rPr>
        <w:t>参考文献</w:t>
      </w:r>
    </w:p>
    <w:p>
      <w:pPr>
        <w:spacing w:line="400" w:lineRule="atLeast"/>
        <w:ind w:right="100"/>
        <w:rPr>
          <w:rFonts w:ascii="宋体" w:hAnsi="宋体" w:cs="仿宋"/>
          <w:szCs w:val="21"/>
        </w:rPr>
      </w:pPr>
      <w:r>
        <w:rPr>
          <w:rFonts w:hint="eastAsia" w:ascii="宋体" w:hAnsi="宋体" w:cs="仿宋"/>
          <w:szCs w:val="21"/>
        </w:rPr>
        <w:t>[1]</w:t>
      </w:r>
      <w:r>
        <w:rPr>
          <w:rFonts w:hint="eastAsia" w:ascii="宋体" w:hAnsi="宋体" w:cs="仿宋"/>
          <w:szCs w:val="21"/>
          <w:lang w:eastAsia="zh-CN"/>
        </w:rPr>
        <w:t>王兴芳</w:t>
      </w:r>
      <w:r>
        <w:rPr>
          <w:rFonts w:hint="eastAsia" w:ascii="宋体" w:hAnsi="宋体" w:cs="仿宋"/>
          <w:szCs w:val="21"/>
          <w:lang w:val="en-US" w:eastAsia="zh-CN"/>
        </w:rPr>
        <w:t>.基于网络课程资源的教师角色分析</w:t>
      </w:r>
      <w:r>
        <w:rPr>
          <w:rFonts w:hint="eastAsia" w:ascii="宋体" w:hAnsi="宋体" w:cs="仿宋"/>
          <w:szCs w:val="21"/>
        </w:rPr>
        <w:t>[J]</w:t>
      </w:r>
      <w:r>
        <w:rPr>
          <w:rFonts w:hint="eastAsia" w:ascii="宋体" w:hAnsi="宋体" w:cs="仿宋"/>
          <w:szCs w:val="21"/>
          <w:lang w:val="en-US" w:eastAsia="zh-CN"/>
        </w:rPr>
        <w:t>.教育理论与实践，2006（2）.</w:t>
      </w:r>
    </w:p>
    <w:p>
      <w:pPr>
        <w:spacing w:line="400" w:lineRule="atLeast"/>
        <w:ind w:right="100"/>
        <w:rPr>
          <w:rFonts w:ascii="宋体" w:hAnsi="宋体" w:cs="仿宋"/>
          <w:szCs w:val="21"/>
        </w:rPr>
      </w:pPr>
      <w:r>
        <w:rPr>
          <w:rFonts w:hint="eastAsia" w:ascii="宋体" w:hAnsi="宋体" w:cs="仿宋"/>
          <w:szCs w:val="21"/>
        </w:rPr>
        <w:t>[2]</w:t>
      </w:r>
      <w:r>
        <w:rPr>
          <w:rFonts w:hint="eastAsia" w:ascii="宋体" w:hAnsi="宋体" w:cs="仿宋"/>
          <w:szCs w:val="21"/>
          <w:lang w:eastAsia="zh-CN"/>
        </w:rPr>
        <w:t>孙莹</w:t>
      </w:r>
      <w:r>
        <w:rPr>
          <w:rFonts w:hint="eastAsia" w:ascii="宋体" w:hAnsi="宋体" w:cs="仿宋"/>
          <w:szCs w:val="21"/>
          <w:lang w:val="en-US" w:eastAsia="zh-CN"/>
        </w:rPr>
        <w:t>.课程改革中教师角色转换的理性研析</w:t>
      </w:r>
      <w:r>
        <w:rPr>
          <w:rFonts w:hint="eastAsia" w:ascii="宋体" w:hAnsi="宋体" w:cs="仿宋"/>
          <w:szCs w:val="21"/>
        </w:rPr>
        <w:t>[J]</w:t>
      </w:r>
      <w:r>
        <w:rPr>
          <w:rFonts w:hint="eastAsia" w:ascii="宋体" w:hAnsi="宋体" w:cs="仿宋"/>
          <w:szCs w:val="21"/>
          <w:lang w:val="en-US" w:eastAsia="zh-CN"/>
        </w:rPr>
        <w:t>.通化师范学院学报，2015（3）.</w:t>
      </w:r>
    </w:p>
    <w:p>
      <w:pPr>
        <w:spacing w:line="360" w:lineRule="auto"/>
        <w:rPr>
          <w:rFonts w:hint="eastAsia" w:ascii="仿宋" w:hAnsi="仿宋" w:eastAsia="仿宋"/>
          <w:bCs/>
          <w:sz w:val="30"/>
          <w:szCs w:val="30"/>
          <w:lang w:val="en-US" w:eastAsia="zh-CN"/>
        </w:rPr>
      </w:pPr>
    </w:p>
    <w:p>
      <w:pPr>
        <w:spacing w:line="360" w:lineRule="auto"/>
        <w:rPr>
          <w:rFonts w:hint="eastAsia" w:ascii="仿宋" w:hAnsi="仿宋" w:eastAsia="仿宋"/>
          <w:bCs/>
          <w:sz w:val="30"/>
          <w:szCs w:val="30"/>
          <w:lang w:val="en-US" w:eastAsia="zh-CN"/>
        </w:rPr>
      </w:pPr>
    </w:p>
    <w:p>
      <w:pPr>
        <w:spacing w:line="360" w:lineRule="auto"/>
        <w:rPr>
          <w:rFonts w:hint="eastAsia" w:ascii="仿宋" w:hAnsi="仿宋" w:eastAsia="仿宋"/>
          <w:bCs/>
          <w:sz w:val="30"/>
          <w:szCs w:val="30"/>
          <w:lang w:val="en-US" w:eastAsia="zh-CN"/>
        </w:rPr>
      </w:pPr>
    </w:p>
    <w:p>
      <w:pPr>
        <w:spacing w:line="360" w:lineRule="auto"/>
        <w:rPr>
          <w:rFonts w:hint="eastAsia" w:ascii="仿宋" w:hAnsi="仿宋" w:eastAsia="仿宋"/>
          <w:bCs/>
          <w:sz w:val="30"/>
          <w:szCs w:val="30"/>
          <w:lang w:val="en-US" w:eastAsia="zh-CN"/>
        </w:rPr>
      </w:pPr>
    </w:p>
    <w:p>
      <w:pPr>
        <w:spacing w:line="360" w:lineRule="auto"/>
        <w:rPr>
          <w:rFonts w:hint="eastAsia" w:ascii="仿宋" w:hAnsi="仿宋" w:eastAsia="仿宋"/>
          <w:bCs/>
          <w:sz w:val="30"/>
          <w:szCs w:val="30"/>
          <w:lang w:val="en-US" w:eastAsia="zh-CN"/>
        </w:rPr>
      </w:pPr>
    </w:p>
    <w:p>
      <w:pPr>
        <w:spacing w:line="360" w:lineRule="auto"/>
        <w:rPr>
          <w:rFonts w:hint="eastAsia" w:ascii="仿宋" w:hAnsi="仿宋" w:eastAsia="仿宋"/>
          <w:bCs/>
          <w:sz w:val="30"/>
          <w:szCs w:val="30"/>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楷体_GB2312">
    <w:altName w:val="楷体"/>
    <w:panose1 w:val="00000000000000000000"/>
    <w:charset w:val="86"/>
    <w:family w:val="auto"/>
    <w:pitch w:val="default"/>
    <w:sig w:usb0="00000001" w:usb1="080E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思源黑体">
    <w:panose1 w:val="020B0500000000090000"/>
    <w:charset w:val="86"/>
    <w:family w:val="auto"/>
    <w:pitch w:val="default"/>
    <w:sig w:usb0="20000003" w:usb1="2ADF3C10" w:usb2="00000016" w:usb3="00000000" w:csb0="60060107"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jc w:val="center"/>
    </w:pP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40B57348"/>
    <w:rsid w:val="011C310E"/>
    <w:rsid w:val="01B218E3"/>
    <w:rsid w:val="025F2238"/>
    <w:rsid w:val="0479515C"/>
    <w:rsid w:val="0A60183B"/>
    <w:rsid w:val="10992CCA"/>
    <w:rsid w:val="15221E3A"/>
    <w:rsid w:val="15472079"/>
    <w:rsid w:val="15CE01E6"/>
    <w:rsid w:val="18E6224A"/>
    <w:rsid w:val="1A34568A"/>
    <w:rsid w:val="1BA61042"/>
    <w:rsid w:val="1F1F489E"/>
    <w:rsid w:val="1F3C59F9"/>
    <w:rsid w:val="2590132F"/>
    <w:rsid w:val="25C724EF"/>
    <w:rsid w:val="27B40826"/>
    <w:rsid w:val="2A601E25"/>
    <w:rsid w:val="2F1D0955"/>
    <w:rsid w:val="31CD66B8"/>
    <w:rsid w:val="33932A1C"/>
    <w:rsid w:val="35CD7FFB"/>
    <w:rsid w:val="374E17CB"/>
    <w:rsid w:val="38585500"/>
    <w:rsid w:val="39A828A4"/>
    <w:rsid w:val="3B1278CE"/>
    <w:rsid w:val="3EA222FE"/>
    <w:rsid w:val="40B57348"/>
    <w:rsid w:val="427F3327"/>
    <w:rsid w:val="43E3645F"/>
    <w:rsid w:val="463036DD"/>
    <w:rsid w:val="46C929B2"/>
    <w:rsid w:val="4B783F5F"/>
    <w:rsid w:val="4DE935B7"/>
    <w:rsid w:val="4EF00EB5"/>
    <w:rsid w:val="4F36518F"/>
    <w:rsid w:val="51E348E9"/>
    <w:rsid w:val="52D10CEE"/>
    <w:rsid w:val="5B20148D"/>
    <w:rsid w:val="61A12783"/>
    <w:rsid w:val="64D92503"/>
    <w:rsid w:val="654B47A2"/>
    <w:rsid w:val="6D4A44DB"/>
    <w:rsid w:val="6D535020"/>
    <w:rsid w:val="6DFA2FFA"/>
    <w:rsid w:val="752175BA"/>
    <w:rsid w:val="779B69C9"/>
    <w:rsid w:val="77DA177E"/>
    <w:rsid w:val="78A21B67"/>
    <w:rsid w:val="79566C9F"/>
    <w:rsid w:val="79D32F07"/>
    <w:rsid w:val="7A712C6F"/>
    <w:rsid w:val="7B4619CE"/>
    <w:rsid w:val="7D5D6B3A"/>
    <w:rsid w:val="7F2406A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4">
    <w:name w:val="Default Paragraph Font"/>
    <w:semiHidden/>
    <w:uiPriority w:val="0"/>
  </w:style>
  <w:style w:type="table" w:default="1" w:styleId="6">
    <w:name w:val="Normal Table"/>
    <w:semiHidden/>
    <w:qFormat/>
    <w:uiPriority w:val="0"/>
    <w:tblPr>
      <w:tblStyle w:val="6"/>
      <w:tblLayout w:type="fixed"/>
      <w:tblCellMar>
        <w:top w:w="0" w:type="dxa"/>
        <w:left w:w="108" w:type="dxa"/>
        <w:bottom w:w="0" w:type="dxa"/>
        <w:right w:w="108" w:type="dxa"/>
      </w:tblCellMar>
    </w:tblPr>
    <w:tcPr>
      <w:textDirection w:val="lrTb"/>
    </w:tcPr>
  </w:style>
  <w:style w:type="paragraph" w:styleId="2">
    <w:name w:val="footer"/>
    <w:basedOn w:val="1"/>
    <w:uiPriority w:val="0"/>
    <w:pPr>
      <w:tabs>
        <w:tab w:val="center" w:pos="4153"/>
        <w:tab w:val="right" w:pos="8306"/>
      </w:tabs>
      <w:snapToGrid w:val="0"/>
      <w:jc w:val="left"/>
    </w:pPr>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rPr>
  </w:style>
  <w:style w:type="character" w:styleId="5">
    <w:name w:val="Hyperlink"/>
    <w:basedOn w:val="4"/>
    <w:qFormat/>
    <w:uiPriority w:val="0"/>
    <w:rPr>
      <w:color w:val="0000FF"/>
      <w:u w:val="single"/>
    </w:rPr>
  </w:style>
  <w:style w:type="table" w:styleId="7">
    <w:name w:val="Table Grid"/>
    <w:basedOn w:val="6"/>
    <w:qFormat/>
    <w:uiPriority w:val="0"/>
    <w:pPr>
      <w:widowControl w:val="0"/>
      <w:jc w:val="both"/>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settings" Target="settings.xml"/><Relationship Id="rId2" Type="http://schemas.openxmlformats.org/officeDocument/2006/relationships/styles" Target="style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 专业版_9.1.0.5012_F1E327BC-269C-435d-A152-05C5408002CA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2018-11-29T12:30:00Z</dcterms:created>
  <dc:creator>不倒翁的家</dc:creator>
  <cp:lastModifiedBy>lenovo</cp:lastModifiedBy>
  <dcterms:modified xsi:type="dcterms:W3CDTF">2019-08-27T02:05:25Z</dcterms:modified>
  <dc:title>浅谈“人教数字校园”在初中生物教学中的应用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2052-9.1.0.5012</vt:lpwstr>
  </property>
  <property fmtid="{D5CDD505-2E9C-101B-9397-08002B2CF9AE}" pid="3" name="KSORubyTemplateID">
    <vt:lpwstr>6</vt:lpwstr>
  </property>
</Properties>
</file>