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Helvetica" w:hAnsi="Helvetica" w:eastAsia="宋体" w:cs="Helvetica"/>
          <w:bCs/>
          <w:color w:val="65686F"/>
          <w:kern w:val="0"/>
          <w:sz w:val="48"/>
          <w:szCs w:val="48"/>
          <w:lang w:eastAsia="zh-CN"/>
        </w:rPr>
      </w:pPr>
      <w:r>
        <w:rPr>
          <w:rFonts w:hint="eastAsia" w:ascii="Helvetica" w:hAnsi="Helvetica" w:eastAsia="宋体" w:cs="Helvetica"/>
          <w:bCs/>
          <w:color w:val="65686F"/>
          <w:kern w:val="0"/>
          <w:sz w:val="48"/>
          <w:szCs w:val="48"/>
          <w:lang w:eastAsia="zh-CN"/>
        </w:rPr>
        <w:drawing>
          <wp:inline distT="0" distB="0" distL="114300" distR="114300">
            <wp:extent cx="5392420" cy="7181850"/>
            <wp:effectExtent l="0" t="0" r="17780" b="0"/>
            <wp:docPr id="7" name="图片 7" descr="201803《利用天津基础教育网络教研平台开展网络评比活动的时间和研究》天津市基础教育“教育创新”论文评选区级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03《利用天津基础教育网络教研平台开展网络评比活动的时间和研究》天津市基础教育“教育创新”论文评选区级一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Helvetica" w:hAnsi="Helvetica" w:eastAsia="宋体" w:cs="Helvetica"/>
          <w:bCs/>
          <w:color w:val="65686F"/>
          <w:kern w:val="0"/>
          <w:sz w:val="48"/>
          <w:szCs w:val="48"/>
          <w:lang w:eastAsia="zh-CN"/>
        </w:rPr>
      </w:pPr>
    </w:p>
    <w:p>
      <w:pPr>
        <w:widowControl/>
        <w:jc w:val="left"/>
        <w:rPr>
          <w:rFonts w:hint="eastAsia" w:ascii="Helvetica" w:hAnsi="Helvetica" w:eastAsia="宋体" w:cs="Helvetica"/>
          <w:bCs/>
          <w:color w:val="65686F"/>
          <w:kern w:val="0"/>
          <w:sz w:val="48"/>
          <w:szCs w:val="48"/>
          <w:lang w:eastAsia="zh-CN"/>
        </w:rPr>
      </w:pPr>
    </w:p>
    <w:p>
      <w:pPr>
        <w:widowControl/>
        <w:jc w:val="left"/>
        <w:rPr>
          <w:rFonts w:hint="eastAsia" w:ascii="Helvetica" w:hAnsi="Helvetica" w:eastAsia="宋体" w:cs="Helvetica"/>
          <w:bCs/>
          <w:color w:val="65686F"/>
          <w:kern w:val="0"/>
          <w:sz w:val="48"/>
          <w:szCs w:val="48"/>
          <w:lang w:eastAsia="zh-CN"/>
        </w:rPr>
      </w:pPr>
      <w:bookmarkStart w:id="0" w:name="_GoBack"/>
      <w:bookmarkEnd w:id="0"/>
    </w:p>
    <w:p>
      <w:pPr>
        <w:widowControl/>
        <w:shd w:val="clear" w:color="auto" w:fill="FFFFFF"/>
        <w:spacing w:line="360" w:lineRule="auto"/>
        <w:jc w:val="center"/>
        <w:rPr>
          <w:rFonts w:ascii="Helvetica" w:hAnsi="Helvetica" w:eastAsia="宋体" w:cs="Helvetica"/>
          <w:bCs/>
          <w:color w:val="65686F"/>
          <w:kern w:val="0"/>
          <w:sz w:val="48"/>
          <w:szCs w:val="48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Helvetica" w:hAnsi="Helvetica" w:eastAsia="宋体" w:cs="Helvetica"/>
          <w:bCs/>
          <w:color w:val="65686F"/>
          <w:kern w:val="0"/>
          <w:sz w:val="48"/>
          <w:szCs w:val="48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Helvetica" w:hAnsi="Helvetica" w:eastAsia="宋体" w:cs="Helvetica"/>
          <w:bCs/>
          <w:color w:val="65686F"/>
          <w:kern w:val="0"/>
          <w:sz w:val="48"/>
          <w:szCs w:val="48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Helvetica" w:hAnsi="Helvetica" w:eastAsia="宋体" w:cs="Helvetica"/>
          <w:bCs/>
          <w:color w:val="65686F"/>
          <w:kern w:val="0"/>
          <w:sz w:val="48"/>
          <w:szCs w:val="48"/>
        </w:rPr>
      </w:pPr>
    </w:p>
    <w:p>
      <w:pPr>
        <w:widowControl/>
        <w:shd w:val="clear" w:color="auto" w:fill="FFFFFF"/>
        <w:snapToGrid w:val="0"/>
        <w:spacing w:line="480" w:lineRule="auto"/>
        <w:jc w:val="center"/>
        <w:rPr>
          <w:rFonts w:ascii="Helvetica" w:hAnsi="Helvetica" w:eastAsia="宋体" w:cs="Helvetica"/>
          <w:b/>
          <w:bCs/>
          <w:color w:val="65686F"/>
          <w:kern w:val="0"/>
          <w:sz w:val="48"/>
          <w:szCs w:val="48"/>
        </w:rPr>
      </w:pPr>
      <w:r>
        <w:rPr>
          <w:rFonts w:hint="eastAsia" w:ascii="Helvetica" w:hAnsi="Helvetica" w:eastAsia="宋体" w:cs="Helvetica"/>
          <w:b/>
          <w:bCs/>
          <w:color w:val="65686F"/>
          <w:kern w:val="0"/>
          <w:sz w:val="48"/>
          <w:szCs w:val="48"/>
        </w:rPr>
        <w:t>利用“天津基础教育网络教研平台”开展</w:t>
      </w:r>
    </w:p>
    <w:p>
      <w:pPr>
        <w:widowControl/>
        <w:shd w:val="clear" w:color="auto" w:fill="FFFFFF"/>
        <w:snapToGrid w:val="0"/>
        <w:spacing w:line="480" w:lineRule="auto"/>
        <w:jc w:val="center"/>
        <w:rPr>
          <w:rFonts w:ascii="Helvetica" w:hAnsi="Helvetica" w:eastAsia="宋体" w:cs="Helvetica"/>
          <w:b/>
          <w:bCs/>
          <w:color w:val="65686F"/>
          <w:kern w:val="0"/>
          <w:sz w:val="48"/>
          <w:szCs w:val="48"/>
        </w:rPr>
      </w:pPr>
      <w:r>
        <w:rPr>
          <w:rFonts w:hint="eastAsia" w:ascii="Helvetica" w:hAnsi="Helvetica" w:eastAsia="宋体" w:cs="Helvetica"/>
          <w:b/>
          <w:bCs/>
          <w:color w:val="65686F"/>
          <w:kern w:val="0"/>
          <w:sz w:val="48"/>
          <w:szCs w:val="48"/>
        </w:rPr>
        <w:t>网络评比活动的实践与研究</w:t>
      </w: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</w:p>
    <w:p>
      <w:pPr>
        <w:widowControl/>
        <w:shd w:val="clear" w:color="auto" w:fill="FFFFFF"/>
        <w:ind w:firstLine="1276" w:firstLineChars="454"/>
        <w:jc w:val="left"/>
        <w:rPr>
          <w:rFonts w:ascii="Helvetica" w:hAnsi="Helvetica" w:eastAsia="宋体" w:cs="Helvetica"/>
          <w:color w:val="65686F"/>
          <w:kern w:val="0"/>
          <w:sz w:val="28"/>
          <w:szCs w:val="28"/>
        </w:rPr>
      </w:pPr>
      <w:r>
        <w:rPr>
          <w:rFonts w:hint="eastAsia" w:ascii="Helvetica" w:hAnsi="Helvetica" w:eastAsia="宋体" w:cs="Helvetica"/>
          <w:b/>
          <w:color w:val="65686F"/>
          <w:kern w:val="0"/>
          <w:sz w:val="28"/>
          <w:szCs w:val="28"/>
        </w:rPr>
        <w:t>学校：</w:t>
      </w:r>
      <w:r>
        <w:rPr>
          <w:rFonts w:hint="eastAsia" w:ascii="Helvetica" w:hAnsi="Helvetica" w:eastAsia="宋体" w:cs="Helvetica"/>
          <w:color w:val="65686F"/>
          <w:kern w:val="0"/>
          <w:sz w:val="28"/>
          <w:szCs w:val="28"/>
          <w:u w:val="single"/>
        </w:rPr>
        <w:t xml:space="preserve">  天津市滨海新区大港教师进修学校  </w:t>
      </w:r>
    </w:p>
    <w:p>
      <w:pPr>
        <w:widowControl/>
        <w:shd w:val="clear" w:color="auto" w:fill="FFFFFF"/>
        <w:ind w:firstLine="1276" w:firstLineChars="454"/>
        <w:jc w:val="left"/>
        <w:rPr>
          <w:rFonts w:ascii="Helvetica" w:hAnsi="Helvetica" w:eastAsia="宋体" w:cs="Helvetica"/>
          <w:color w:val="65686F"/>
          <w:kern w:val="0"/>
          <w:sz w:val="28"/>
          <w:szCs w:val="28"/>
        </w:rPr>
      </w:pPr>
      <w:r>
        <w:rPr>
          <w:rFonts w:hint="eastAsia" w:ascii="Helvetica" w:hAnsi="Helvetica" w:eastAsia="宋体" w:cs="Helvetica"/>
          <w:b/>
          <w:color w:val="65686F"/>
          <w:kern w:val="0"/>
          <w:sz w:val="28"/>
          <w:szCs w:val="28"/>
        </w:rPr>
        <w:t>姓名：</w:t>
      </w:r>
      <w:r>
        <w:rPr>
          <w:rFonts w:hint="eastAsia" w:ascii="Helvetica" w:hAnsi="Helvetica" w:eastAsia="宋体" w:cs="Helvetica"/>
          <w:color w:val="65686F"/>
          <w:kern w:val="0"/>
          <w:sz w:val="28"/>
          <w:szCs w:val="28"/>
          <w:u w:val="single"/>
        </w:rPr>
        <w:t xml:space="preserve">              张勇                </w:t>
      </w:r>
    </w:p>
    <w:p>
      <w:pPr>
        <w:widowControl/>
        <w:shd w:val="clear" w:color="auto" w:fill="FFFFFF"/>
        <w:wordWrap w:val="0"/>
        <w:ind w:firstLine="1276" w:firstLineChars="454"/>
        <w:jc w:val="left"/>
        <w:rPr>
          <w:rFonts w:ascii="Helvetica" w:hAnsi="Helvetica" w:eastAsia="宋体" w:cs="Helvetica"/>
          <w:color w:val="65686F"/>
          <w:kern w:val="0"/>
          <w:sz w:val="28"/>
          <w:szCs w:val="28"/>
        </w:rPr>
      </w:pPr>
      <w:r>
        <w:rPr>
          <w:rFonts w:hint="eastAsia" w:ascii="Helvetica" w:hAnsi="Helvetica" w:eastAsia="宋体" w:cs="Helvetica"/>
          <w:b/>
          <w:color w:val="65686F"/>
          <w:kern w:val="0"/>
          <w:sz w:val="28"/>
          <w:szCs w:val="28"/>
        </w:rPr>
        <w:t>学科：</w:t>
      </w:r>
      <w:r>
        <w:rPr>
          <w:rFonts w:hint="eastAsia" w:ascii="Helvetica" w:hAnsi="Helvetica" w:eastAsia="宋体" w:cs="Helvetica"/>
          <w:color w:val="65686F"/>
          <w:kern w:val="0"/>
          <w:sz w:val="28"/>
          <w:szCs w:val="28"/>
          <w:u w:val="single"/>
        </w:rPr>
        <w:t xml:space="preserve">            信息技术              </w:t>
      </w: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color w:val="65686F"/>
          <w:kern w:val="0"/>
          <w:sz w:val="28"/>
          <w:szCs w:val="28"/>
        </w:rPr>
      </w:pPr>
      <w:r>
        <w:rPr>
          <w:rFonts w:hint="eastAsia" w:ascii="Helvetica" w:hAnsi="Helvetica" w:eastAsia="宋体" w:cs="Helvetica"/>
          <w:color w:val="65686F"/>
          <w:kern w:val="0"/>
          <w:sz w:val="28"/>
          <w:szCs w:val="28"/>
        </w:rPr>
        <w:t xml:space="preserve">   2017年12月</w:t>
      </w:r>
    </w:p>
    <w:p>
      <w:pPr>
        <w:widowControl/>
        <w:jc w:val="left"/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</w:pPr>
      <w:r>
        <w:rPr>
          <w:rFonts w:ascii="Helvetica" w:hAnsi="Helvetica" w:eastAsia="宋体" w:cs="Helvetica"/>
          <w:bCs/>
          <w:color w:val="65686F"/>
          <w:kern w:val="0"/>
          <w:sz w:val="28"/>
          <w:szCs w:val="28"/>
        </w:rPr>
        <w:br w:type="page"/>
      </w: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/>
          <w:bCs/>
          <w:color w:val="65686F"/>
          <w:kern w:val="0"/>
          <w:sz w:val="36"/>
          <w:szCs w:val="36"/>
        </w:rPr>
      </w:pPr>
      <w:r>
        <w:rPr>
          <w:rFonts w:hint="eastAsia" w:ascii="Helvetica" w:hAnsi="Helvetica" w:eastAsia="宋体" w:cs="Helvetica"/>
          <w:b/>
          <w:bCs/>
          <w:color w:val="65686F"/>
          <w:kern w:val="0"/>
          <w:sz w:val="36"/>
          <w:szCs w:val="36"/>
        </w:rPr>
        <w:t>利用“天津基础教育网络教研平台”开展</w:t>
      </w:r>
    </w:p>
    <w:p>
      <w:pPr>
        <w:widowControl/>
        <w:shd w:val="clear" w:color="auto" w:fill="FFFFFF"/>
        <w:jc w:val="center"/>
        <w:rPr>
          <w:rFonts w:ascii="Helvetica" w:hAnsi="Helvetica" w:eastAsia="宋体" w:cs="Helvetica"/>
          <w:b/>
          <w:bCs/>
          <w:color w:val="65686F"/>
          <w:kern w:val="0"/>
          <w:sz w:val="36"/>
          <w:szCs w:val="36"/>
        </w:rPr>
      </w:pPr>
      <w:r>
        <w:rPr>
          <w:rFonts w:hint="eastAsia" w:ascii="Helvetica" w:hAnsi="Helvetica" w:eastAsia="宋体" w:cs="Helvetica"/>
          <w:b/>
          <w:bCs/>
          <w:color w:val="65686F"/>
          <w:kern w:val="0"/>
          <w:sz w:val="36"/>
          <w:szCs w:val="36"/>
        </w:rPr>
        <w:t>网络评比活动的实践与研究</w:t>
      </w:r>
    </w:p>
    <w:p>
      <w:pPr>
        <w:ind w:firstLine="602" w:firstLineChars="200"/>
        <w:rPr>
          <w:rFonts w:ascii="仿宋" w:hAnsi="仿宋" w:eastAsia="仿宋" w:cs="Helvetica"/>
          <w:b/>
          <w:color w:val="65686F"/>
          <w:kern w:val="0"/>
          <w:sz w:val="30"/>
          <w:szCs w:val="30"/>
        </w:rPr>
      </w:pPr>
    </w:p>
    <w:p>
      <w:pPr>
        <w:ind w:firstLine="602" w:firstLineChars="200"/>
        <w:rPr>
          <w:rFonts w:ascii="仿宋" w:hAnsi="仿宋" w:eastAsia="仿宋" w:cs="Helvetica"/>
          <w:b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color w:val="65686F"/>
          <w:kern w:val="0"/>
          <w:sz w:val="30"/>
          <w:szCs w:val="30"/>
        </w:rPr>
        <w:t>【</w:t>
      </w:r>
      <w:r>
        <w:rPr>
          <w:rFonts w:hint="eastAsia" w:ascii="仿宋" w:hAnsi="仿宋" w:eastAsia="仿宋" w:cs="Helvetica"/>
          <w:b/>
          <w:bCs/>
          <w:color w:val="65686F"/>
          <w:kern w:val="0"/>
          <w:sz w:val="30"/>
          <w:szCs w:val="30"/>
        </w:rPr>
        <w:t>摘要</w:t>
      </w:r>
      <w:r>
        <w:rPr>
          <w:rFonts w:hint="eastAsia" w:ascii="仿宋" w:hAnsi="仿宋" w:eastAsia="仿宋" w:cs="Helvetica"/>
          <w:b/>
          <w:color w:val="65686F"/>
          <w:kern w:val="0"/>
          <w:sz w:val="30"/>
          <w:szCs w:val="30"/>
        </w:rPr>
        <w:t>】</w:t>
      </w:r>
      <w:r>
        <w:rPr>
          <w:rFonts w:hint="eastAsia" w:ascii="仿宋" w:hAnsi="仿宋" w:eastAsia="仿宋" w:cs="Helvetica"/>
          <w:b/>
          <w:bCs/>
          <w:color w:val="65686F"/>
          <w:kern w:val="0"/>
          <w:sz w:val="30"/>
          <w:szCs w:val="30"/>
        </w:rPr>
        <w:t>传统的评比活动受到</w:t>
      </w:r>
      <w:r>
        <w:rPr>
          <w:rFonts w:hint="eastAsia" w:ascii="仿宋" w:hAnsi="仿宋" w:eastAsia="仿宋" w:cs="Helvetica"/>
          <w:b/>
          <w:color w:val="65686F"/>
          <w:kern w:val="0"/>
          <w:sz w:val="30"/>
          <w:szCs w:val="30"/>
        </w:rPr>
        <w:t>“时空”和“环境”的限制，在评比过程中耗费大量的人力、物力、财力及时间等，而利用网络平台进行评比活动很好的解决了这些弊端。本文通过介绍我区域利用“天津基础教育网络教研平台”的评比系统组织“2016年信息技术与课程整合优秀课评比大赛”活动的实践工作，对如何在网络环境下开展评比工作进行探讨。</w:t>
      </w:r>
    </w:p>
    <w:p>
      <w:pPr>
        <w:ind w:firstLine="602" w:firstLineChars="200"/>
        <w:rPr>
          <w:rFonts w:ascii="仿宋" w:hAnsi="仿宋" w:eastAsia="仿宋" w:cs="Helvetica"/>
          <w:b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color w:val="65686F"/>
          <w:kern w:val="0"/>
          <w:sz w:val="30"/>
          <w:szCs w:val="30"/>
        </w:rPr>
        <w:t>【关键字】网络教研平台  优秀课评比  教育信息化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为进一步深化课程改革，推动学校教育信息化建设，提升教师现代教育技术应用能力，提高教育信息化设施运用效率，大港教育信息技术中心连续数年举办“信息技术与课程整合优秀课评比大赛”，为教师搭建竞比平台，交流和推广信息技术与课程整合的最新成果，同时选报优秀课程参加“天津市信息技术与课程整合优秀课评比大赛”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每年大赛基本都经过校级初赛—区级复赛—推荐市级几个阶段，在区级复赛阶段，最初几届我们采用集中说课的形式，这种形式受限于时间和地点，对于参赛教师的数量和评委的选择有很大限制。于是后来我们又采用录制课堂实录，上报光盘的形式，这种形式解决了人员集中的时间问题，但是大量一次性使用的光盘造成了极大的浪费，同时评委需要在电脑中存放大量的比赛文件，即占用存储空间，又不方便随时观看，还存在安全问题。在“互联网+”时代，如何在网络环境下开展评比工作，改变传统模式下的很多弊端，打破“时空”和“环境”的限制，实现“互联网+活动评比”的模式，“天津基础教育网络教研平台”为我们提供了很好的支撑。“2016年信息技术与课程整合优秀课评比大赛”，就是我们利用“天津基础教育网络教研平台”的评比系统进行网络环境下开展评比工作模式的实践与研究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一、发布评比，上报作品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1．区级管理人员发布活动信息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按照大港区域“2016年信息技术与课程整合优秀课评比大赛”方案要求，各学校首先在规定时间内完成校级初赛工作，然后通过邮箱上报了推荐参加区级复赛人员名单，并在“天津基础教育网络教研平台”完成复赛人员用户注册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区级管理人员登陆“天津基础教育网络教研平台”（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>http://jypt.tjjy.com.cn</w:t>
      </w: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），选择“评比”栏目，进入“评比”系统。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274310" cy="484505"/>
            <wp:effectExtent l="19050" t="19050" r="21590" b="10795"/>
            <wp:docPr id="1" name="图片 0" descr="评比发起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评比发起01-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50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点击“发起评比”按钮，进入“评比发起”阶段，在“基本设置”栏目中填写评比标题、评比描述、评比范围、评比管理员、子管理员、评审时间、评比公示、评比量表、作品来源、作品编号、奖项设置、获奖比例设置人、参与人员等参数，保存发布活动，并通过“大港教育网站”发布区级复赛通知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274310" cy="2705100"/>
            <wp:effectExtent l="19050" t="19050" r="21590" b="19050"/>
            <wp:docPr id="2" name="图片 1" descr="评比发起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评比发起01.jpg"/>
                    <pic:cNvPicPr>
                      <a:picLocks noChangeAspect="1"/>
                    </pic:cNvPicPr>
                  </pic:nvPicPr>
                  <pic:blipFill>
                    <a:blip r:embed="rId8"/>
                    <a:srcRect b="20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其中，评审时间、评比公示时间、作品来源中的提交时间分别确定了评审阶段、公示阶段和作品提交阶段的活动时间，由系统自动控制，到时间节点系统自动关闭上一阶段功能模块，同时打开下一阶段功能模块，保证了活动过程的规范化、系统化，减少了人为因素的影响。</w:t>
      </w:r>
    </w:p>
    <w:p>
      <w:pPr>
        <w:widowControl/>
        <w:shd w:val="clear" w:color="auto" w:fill="FFFFFF"/>
        <w:jc w:val="left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400040" cy="1776730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673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同时为了减少无关人员对大赛的影响，在“参与人员”项目中，我们基于初赛上报的推荐名单，选择了“指定确定的参加人员”，只允许推荐人员参加此次评比活动，保证参赛人员信息的准确性。如果是参赛人员不确定的比赛，可以通过使用“参赛码”方式限制参赛人员，避免区域外部人员的影响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274310" cy="3552825"/>
            <wp:effectExtent l="19050" t="19050" r="21590" b="28575"/>
            <wp:docPr id="3" name="图片 2" descr="评比发起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评比发起03.jpg"/>
                    <pic:cNvPicPr>
                      <a:picLocks noChangeAspect="1"/>
                    </pic:cNvPicPr>
                  </pic:nvPicPr>
                  <pic:blipFill>
                    <a:blip r:embed="rId10"/>
                    <a:srcRect b="107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2．参赛教师上传作品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各学校参赛教师看到“大港教育网站”通知后，使用个人账号登录“天津基础教育网络教研平台”，在“评比”—“我的评比”栏目可以看到“2016年信息技术与课程整合优秀课评比大赛”项目，点击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>“大赛名称”进入后</w:t>
      </w: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，看到活动具体内容。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305425" cy="1362075"/>
            <wp:effectExtent l="19050" t="0" r="9525" b="0"/>
            <wp:docPr id="10" name="图片 9" descr="作品上传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作品上传01-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点击“作品上传”按钮，参赛教师上传课堂实录、教学设计、教学课件等参赛作品。网络平台上报作品既节省了参赛教师的时间、光盘刻录的费用，又节省了活动组织部门收取作品、信息汇总的工作量，提高了工作效率。</w:t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274310" cy="5395595"/>
            <wp:effectExtent l="38100" t="19050" r="21590" b="14605"/>
            <wp:docPr id="9" name="图片 8" descr="作品上传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作品上传0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559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二、作品分组，评委评审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1．区级管理人员设置分组及评委信息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作品提交时间截止后，系统自动关闭“作品上传”功能，进入评审阶段。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区级管理人员通过活动项目上的“编辑”按钮进入评比活动管理界面。首先在“评比发起”阶段的“作品分组”栏目中通过“创建分组”添加作品分组，并选中相应的参赛作品加入对应分组中。</w:t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362575" cy="2076450"/>
            <wp:effectExtent l="19050" t="19050" r="9525" b="0"/>
            <wp:docPr id="16" name="图片 15" descr="评比发起0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评比发起04-00.jpg"/>
                    <pic:cNvPicPr>
                      <a:picLocks noChangeAspect="1"/>
                    </pic:cNvPicPr>
                  </pic:nvPicPr>
                  <pic:blipFill>
                    <a:blip r:embed="rId13"/>
                    <a:srcRect t="438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07645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分组工作完成后，点击“分组名称”进入一个分组，在下方为本组“添加评委”，并设置组长。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382895" cy="1362075"/>
            <wp:effectExtent l="19050" t="19050" r="8255" b="0"/>
            <wp:docPr id="17" name="图片 16" descr="评比发起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评比发起04-3.jpg"/>
                    <pic:cNvPicPr>
                      <a:picLocks noChangeAspect="1"/>
                    </pic:cNvPicPr>
                  </pic:nvPicPr>
                  <pic:blipFill>
                    <a:blip r:embed="rId14"/>
                    <a:srcRect t="529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628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所有分组均添加完评委后，作品分组工作完成。可在“评比发起”阶段的“作品分组”栏目中看到评委及分组信息，同时可以添加“评审说明”等内容，也可以</w:t>
      </w:r>
      <w:r>
        <w:rPr>
          <w:rFonts w:hint="eastAsia" w:ascii="仿宋" w:hAnsi="仿宋" w:eastAsia="仿宋" w:cs="Helvetica"/>
          <w:color w:val="65686F"/>
          <w:sz w:val="30"/>
          <w:szCs w:val="30"/>
        </w:rPr>
        <w:t>导出评委列表到EXCEL表格中进行统计、编辑。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391150" cy="3019425"/>
            <wp:effectExtent l="19050" t="19050" r="0" b="9525"/>
            <wp:docPr id="48" name="图片 47" descr="评比发起0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评比发起04-4.jpg"/>
                    <pic:cNvPicPr>
                      <a:picLocks noChangeAspect="1"/>
                    </pic:cNvPicPr>
                  </pic:nvPicPr>
                  <pic:blipFill>
                    <a:blip r:embed="rId15"/>
                    <a:srcRect t="2555" b="182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2．评委查看作品，评审打分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1）评委使用个人账号登录“天津基础教育网络教研平台”，通过活动项目上的“评分”按钮进入评比活动管理界面，可以查看个人分配到的作品信息以及“评审说明”等内容。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400040" cy="2045970"/>
            <wp:effectExtent l="19050" t="0" r="0" b="0"/>
            <wp:docPr id="39" name="图片 38" descr="评委评分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评委评分01-0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点击参赛作品名称，在出现的列表中点击上传的资源名称，可以在线查看所有资源内容，也可下载浏览。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400040" cy="4271010"/>
            <wp:effectExtent l="19050" t="0" r="0" b="0"/>
            <wp:docPr id="35" name="图片 34" descr="评比执行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评比执行03-0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2）评委观看完所有作品，根据评审标准为每个作品进行打分，给出相应分数，在对应作品后面点击“立即评审”，填写分数并确定。所有作品打分完成后，选择“提交评审”，完成个人评分工作。</w:t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400040" cy="372745"/>
            <wp:effectExtent l="19050" t="19050" r="10160" b="27305"/>
            <wp:docPr id="40" name="图片 39" descr="评委评分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评委评分03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74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3）小组所有成员打分完成后，组长点击“提交小组结果”，完成小组打分工作。</w:t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295900" cy="1314450"/>
            <wp:effectExtent l="19050" t="19050" r="19050" b="19050"/>
            <wp:docPr id="44" name="图片 43" descr="评比执行0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评比执行06-0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31445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网络平台评审解决了评委时间冲突、不易集中的问题，采用背对背打分的形式也保证了评审过程的公正性。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三、评比总结，结果发布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在评委打分过程中区级管理人员可以在“评比执行”阶段中查看每个评委的具体打分情况。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396230" cy="2657475"/>
            <wp:effectExtent l="0" t="0" r="0" b="0"/>
            <wp:docPr id="34" name="图片 33" descr="评比执行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评比执行04-01.jpg"/>
                    <pic:cNvPicPr>
                      <a:picLocks noChangeAspect="1"/>
                    </pic:cNvPicPr>
                  </pic:nvPicPr>
                  <pic:blipFill>
                    <a:blip r:embed="rId20"/>
                    <a:srcRect b="157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9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所有小组评委打分完毕后，系统自动对评委分数进行统计并排序，区级管理人员根据评分顺序给出相应的奖项。如果成绩有问题，可选择“退到上一步”，回到评委打分阶段。确认成绩与奖项无误后，点击“结束评比”，完成评审阶段的评比活动。</w:t>
      </w:r>
    </w:p>
    <w:p>
      <w:pPr>
        <w:widowControl/>
        <w:shd w:val="clear" w:color="auto" w:fill="FFFFFF"/>
        <w:jc w:val="center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1943100" cy="457200"/>
            <wp:effectExtent l="19050" t="19050" r="19050" b="19050"/>
            <wp:docPr id="45" name="图片 44" descr="评比执行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评比执行04-02.jpg"/>
                    <pic:cNvPicPr>
                      <a:picLocks noChangeAspect="1"/>
                    </pic:cNvPicPr>
                  </pic:nvPicPr>
                  <pic:blipFill>
                    <a:blip r:embed="rId21"/>
                    <a:srcRect l="36684" t="61165" r="37154" b="494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572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评审阶段结束后，系统自动完成统计工作并发布评比结果进行公示。区级管理人员可以在“评比执行”阶段中“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>按作品查看</w:t>
      </w: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”统计结果，参赛教师也可以通过个人账号查看评比结果。</w:t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372100" cy="2105025"/>
            <wp:effectExtent l="19050" t="19050" r="19050" b="28575"/>
            <wp:docPr id="33" name="图片 32" descr="评比执行0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评比执行01-00.jpg"/>
                    <pic:cNvPicPr>
                      <a:picLocks noChangeAspect="1"/>
                    </pic:cNvPicPr>
                  </pic:nvPicPr>
                  <pic:blipFill>
                    <a:blip r:embed="rId22"/>
                    <a:srcRect b="3928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10502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在“评比总结”阶段中可以看到详细的统计信息，也可以“导出总结”到EXCEL表格中查看，方便保存和打印。</w:t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400675" cy="2257425"/>
            <wp:effectExtent l="19050" t="1905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716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drawing>
          <wp:inline distT="0" distB="0" distL="0" distR="0">
            <wp:extent cx="5400040" cy="1974215"/>
            <wp:effectExtent l="19050" t="1905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42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网络平台的统计功能较传统方式节省了大量人力和时间，提高了工作的效率，活动结果也得到及时发布。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至此，区级复赛工作圆满结束。</w:t>
      </w:r>
    </w:p>
    <w:p>
      <w:pPr>
        <w:widowControl/>
        <w:shd w:val="clear" w:color="auto" w:fill="FFFFFF"/>
        <w:ind w:firstLine="602" w:firstLineChars="200"/>
        <w:rPr>
          <w:rFonts w:ascii="仿宋" w:hAnsi="仿宋" w:eastAsia="仿宋" w:cs="Helvetica"/>
          <w:b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color w:val="65686F"/>
          <w:kern w:val="0"/>
          <w:sz w:val="30"/>
          <w:szCs w:val="30"/>
        </w:rPr>
        <w:t>结束语：</w:t>
      </w: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利用“天津基础教育网络教研平台”的评比系统开展网络评比活动，与传统评比相比较，节约了大量的人力、物力、财力及时间等，并且通过设计各环节时间节点，使得评比过程更加规范化、系统化、自动化、公平化，减少了人为因素的影响，使得活动更加公平、公正、公开。评比过程中的数据均可以导出表格保存以及直接打印，方便了整个统计过程，提高了工作的效率，对教育信息化发展起到了极大的促进作用。</w:t>
      </w:r>
    </w:p>
    <w:p>
      <w:pPr>
        <w:widowControl/>
        <w:shd w:val="clear" w:color="auto" w:fill="FFFFFF"/>
        <w:ind w:firstLine="600" w:firstLineChars="200"/>
        <w:rPr>
          <w:rFonts w:hint="eastAsia"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由于初次尝试利用网络平台组织评比活动，对此项工作的各项环节的操作不是十分清楚，所以在整个活动中也出现了很多问题，比如由于不了解评委评审工作流程，对评委培训不够，导致多次退回评委成绩，重新打分，浪费很多时间，但同时也收获了许多实践经验。下一步我们将开展将评比活动更多环节纳入平台管理、进行多组别多评委的评选、网上评价量表的使用等深度功能的研究与使用工作，充分发挥网络与平台优势，推动教育信息化更上一个台阶。</w:t>
      </w:r>
    </w:p>
    <w:p>
      <w:pPr>
        <w:widowControl/>
        <w:shd w:val="clear" w:color="auto" w:fill="FFFFFF"/>
        <w:ind w:firstLine="600" w:firstLineChars="200"/>
        <w:rPr>
          <w:rFonts w:hint="eastAsia" w:ascii="仿宋" w:hAnsi="仿宋" w:eastAsia="仿宋" w:cs="Helvetica"/>
          <w:color w:val="65686F"/>
          <w:kern w:val="0"/>
          <w:sz w:val="30"/>
          <w:szCs w:val="30"/>
        </w:rPr>
      </w:pPr>
    </w:p>
    <w:p>
      <w:pPr>
        <w:widowControl/>
        <w:shd w:val="clear" w:color="auto" w:fill="FFFFFF"/>
        <w:ind w:firstLine="600" w:firstLineChars="200"/>
        <w:rPr>
          <w:rFonts w:hint="eastAsia" w:ascii="仿宋" w:hAnsi="仿宋" w:eastAsia="仿宋" w:cs="Helvetica"/>
          <w:color w:val="65686F"/>
          <w:kern w:val="0"/>
          <w:sz w:val="30"/>
          <w:szCs w:val="30"/>
        </w:rPr>
      </w:pPr>
    </w:p>
    <w:p>
      <w:pPr>
        <w:widowControl/>
        <w:shd w:val="clear" w:color="auto" w:fill="FFFFFF"/>
        <w:ind w:firstLine="600" w:firstLineChars="200"/>
        <w:rPr>
          <w:rFonts w:hint="eastAsia" w:ascii="仿宋" w:hAnsi="仿宋" w:eastAsia="仿宋" w:cs="Helvetica"/>
          <w:color w:val="65686F"/>
          <w:kern w:val="0"/>
          <w:sz w:val="30"/>
          <w:szCs w:val="30"/>
        </w:rPr>
      </w:pPr>
    </w:p>
    <w:p>
      <w:pPr>
        <w:widowControl/>
        <w:shd w:val="clear" w:color="auto" w:fill="FFFFFF"/>
        <w:ind w:firstLine="600" w:firstLineChars="200"/>
        <w:rPr>
          <w:rFonts w:hint="eastAsia" w:ascii="仿宋" w:hAnsi="仿宋" w:eastAsia="仿宋" w:cs="Helvetica"/>
          <w:color w:val="65686F"/>
          <w:kern w:val="0"/>
          <w:sz w:val="30"/>
          <w:szCs w:val="30"/>
        </w:rPr>
      </w:pPr>
    </w:p>
    <w:p>
      <w:pPr>
        <w:widowControl/>
        <w:shd w:val="clear" w:color="auto" w:fill="FFFFFF"/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</w:p>
    <w:p>
      <w:pPr>
        <w:ind w:firstLine="602" w:firstLineChars="200"/>
        <w:rPr>
          <w:rFonts w:ascii="仿宋" w:hAnsi="仿宋" w:eastAsia="仿宋" w:cs="Helvetica"/>
          <w:b/>
          <w:color w:val="65686F"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color w:val="65686F"/>
          <w:kern w:val="0"/>
          <w:sz w:val="30"/>
          <w:szCs w:val="30"/>
        </w:rPr>
        <w:t>【参考文献】</w:t>
      </w:r>
    </w:p>
    <w:p>
      <w:pPr>
        <w:ind w:firstLine="600" w:firstLineChars="200"/>
        <w:rPr>
          <w:rFonts w:ascii="仿宋" w:hAnsi="仿宋" w:eastAsia="仿宋" w:cs="Helvetica"/>
          <w:color w:val="65686F"/>
          <w:kern w:val="0"/>
          <w:sz w:val="30"/>
          <w:szCs w:val="30"/>
        </w:rPr>
      </w:pPr>
      <w:r>
        <w:rPr>
          <w:rFonts w:ascii="仿宋" w:hAnsi="仿宋" w:eastAsia="仿宋" w:cs="Helvetica"/>
          <w:color w:val="65686F"/>
          <w:kern w:val="0"/>
          <w:sz w:val="30"/>
          <w:szCs w:val="30"/>
        </w:rPr>
        <w:t xml:space="preserve">[1] </w:t>
      </w:r>
      <w:r>
        <w:fldChar w:fldCharType="begin"/>
      </w:r>
      <w:r>
        <w:instrText xml:space="preserve"> HYPERLINK "http://xueshu.baidu.com/s?wd=authoruri%3A%28f42cd5d51c6edfad%29%20author%3A%28%E9%83%9D%E6%8D%B7%29%20%E5%A4%A9%E6%B4%A5%E5%B8%82%E4%B8%AD%E5%B0%8F%E5%AD%A6%E6%95%99%E8%82%B2%E6%95%99%E5%AD%A6%E7%A0%94%E7%A9%B6%E5%AE%A4&amp;tn=SE_baiduxueshu_c1gjeupa&amp;ie=utf-8&amp;sc_f_para=sc_hilight%3Dperson&amp;sort=sc_cited" \t "_blank" </w:instrText>
      </w:r>
      <w:r>
        <w:fldChar w:fldCharType="separate"/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>郝捷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fldChar w:fldCharType="end"/>
      </w: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,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>基于“天津基础教育网络教研平台”通用评比系统的研究与开发</w:t>
      </w: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,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>天津教育</w:t>
      </w:r>
      <w:r>
        <w:rPr>
          <w:rFonts w:hint="eastAsia" w:ascii="仿宋" w:hAnsi="仿宋" w:eastAsia="仿宋" w:cs="Helvetica"/>
          <w:color w:val="65686F"/>
          <w:kern w:val="0"/>
          <w:sz w:val="30"/>
          <w:szCs w:val="30"/>
        </w:rPr>
        <w:t>,</w:t>
      </w:r>
      <w:r>
        <w:rPr>
          <w:rFonts w:ascii="仿宋" w:hAnsi="仿宋" w:eastAsia="仿宋" w:cs="Helvetica"/>
          <w:color w:val="65686F"/>
          <w:kern w:val="0"/>
          <w:sz w:val="30"/>
          <w:szCs w:val="30"/>
        </w:rPr>
        <w:t xml:space="preserve"> 2016(Z1):8-11</w:t>
      </w:r>
    </w:p>
    <w:p>
      <w:pPr>
        <w:widowControl/>
        <w:shd w:val="clear" w:color="auto" w:fill="FFFFFF"/>
        <w:ind w:firstLine="640" w:firstLineChars="200"/>
        <w:rPr>
          <w:rFonts w:ascii="仿宋" w:hAnsi="仿宋" w:eastAsia="仿宋" w:cs="Helvetica"/>
          <w:color w:val="65686F"/>
          <w:kern w:val="0"/>
          <w:sz w:val="32"/>
          <w:szCs w:val="32"/>
        </w:rPr>
      </w:pPr>
    </w:p>
    <w:sectPr>
      <w:footerReference r:id="rId4" w:type="first"/>
      <w:footerReference r:id="rId3" w:type="default"/>
      <w:pgSz w:w="11906" w:h="16838"/>
      <w:pgMar w:top="1134" w:right="1701" w:bottom="1134" w:left="1701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191830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03FE"/>
    <w:rsid w:val="00011937"/>
    <w:rsid w:val="00011F7B"/>
    <w:rsid w:val="00013C53"/>
    <w:rsid w:val="00014EC4"/>
    <w:rsid w:val="00035FA3"/>
    <w:rsid w:val="0004532F"/>
    <w:rsid w:val="00081FB4"/>
    <w:rsid w:val="00083E55"/>
    <w:rsid w:val="00092247"/>
    <w:rsid w:val="000931ED"/>
    <w:rsid w:val="000C6A86"/>
    <w:rsid w:val="000D0737"/>
    <w:rsid w:val="001016A9"/>
    <w:rsid w:val="00104703"/>
    <w:rsid w:val="001162DB"/>
    <w:rsid w:val="00120052"/>
    <w:rsid w:val="001309FF"/>
    <w:rsid w:val="00143C48"/>
    <w:rsid w:val="00154A3E"/>
    <w:rsid w:val="001566C0"/>
    <w:rsid w:val="00162B5C"/>
    <w:rsid w:val="00164F1C"/>
    <w:rsid w:val="00177893"/>
    <w:rsid w:val="00197C69"/>
    <w:rsid w:val="001C34CD"/>
    <w:rsid w:val="001D3203"/>
    <w:rsid w:val="001E7E67"/>
    <w:rsid w:val="00207FD5"/>
    <w:rsid w:val="00217674"/>
    <w:rsid w:val="00252063"/>
    <w:rsid w:val="002567FA"/>
    <w:rsid w:val="0026174F"/>
    <w:rsid w:val="00267553"/>
    <w:rsid w:val="00290F1A"/>
    <w:rsid w:val="00293B69"/>
    <w:rsid w:val="00294E9D"/>
    <w:rsid w:val="00296DE9"/>
    <w:rsid w:val="002A0BDD"/>
    <w:rsid w:val="002C3906"/>
    <w:rsid w:val="002E40C3"/>
    <w:rsid w:val="002F6D26"/>
    <w:rsid w:val="002F7529"/>
    <w:rsid w:val="00304184"/>
    <w:rsid w:val="0030684F"/>
    <w:rsid w:val="0030737E"/>
    <w:rsid w:val="00312870"/>
    <w:rsid w:val="00342B0F"/>
    <w:rsid w:val="003547B2"/>
    <w:rsid w:val="00370574"/>
    <w:rsid w:val="00372983"/>
    <w:rsid w:val="00380CD0"/>
    <w:rsid w:val="00383463"/>
    <w:rsid w:val="0039678E"/>
    <w:rsid w:val="00397B26"/>
    <w:rsid w:val="003C1191"/>
    <w:rsid w:val="003D5272"/>
    <w:rsid w:val="003E2BF7"/>
    <w:rsid w:val="003E7D22"/>
    <w:rsid w:val="004379B7"/>
    <w:rsid w:val="00443113"/>
    <w:rsid w:val="00456914"/>
    <w:rsid w:val="00456EC6"/>
    <w:rsid w:val="0046609B"/>
    <w:rsid w:val="004A6EF6"/>
    <w:rsid w:val="004D3B10"/>
    <w:rsid w:val="004D3D11"/>
    <w:rsid w:val="004E623A"/>
    <w:rsid w:val="004F34FC"/>
    <w:rsid w:val="00501700"/>
    <w:rsid w:val="00505DB2"/>
    <w:rsid w:val="00505F49"/>
    <w:rsid w:val="005246BC"/>
    <w:rsid w:val="0053642B"/>
    <w:rsid w:val="00543ADD"/>
    <w:rsid w:val="00556AD6"/>
    <w:rsid w:val="005712D9"/>
    <w:rsid w:val="00572406"/>
    <w:rsid w:val="0057409C"/>
    <w:rsid w:val="00577C8E"/>
    <w:rsid w:val="005A23FF"/>
    <w:rsid w:val="005A5F44"/>
    <w:rsid w:val="005A7B17"/>
    <w:rsid w:val="005C5E30"/>
    <w:rsid w:val="005C6B53"/>
    <w:rsid w:val="005C6EBA"/>
    <w:rsid w:val="005D256E"/>
    <w:rsid w:val="005E2C5A"/>
    <w:rsid w:val="005F6618"/>
    <w:rsid w:val="006063BE"/>
    <w:rsid w:val="00617EA7"/>
    <w:rsid w:val="006238A6"/>
    <w:rsid w:val="00641BDD"/>
    <w:rsid w:val="006530F0"/>
    <w:rsid w:val="00670BB8"/>
    <w:rsid w:val="00672D82"/>
    <w:rsid w:val="00673847"/>
    <w:rsid w:val="00677D68"/>
    <w:rsid w:val="0068169C"/>
    <w:rsid w:val="00685E80"/>
    <w:rsid w:val="00697D1A"/>
    <w:rsid w:val="006A6F44"/>
    <w:rsid w:val="006B39C7"/>
    <w:rsid w:val="006C0819"/>
    <w:rsid w:val="006D1E94"/>
    <w:rsid w:val="006E1A7D"/>
    <w:rsid w:val="00701697"/>
    <w:rsid w:val="00713129"/>
    <w:rsid w:val="007230B4"/>
    <w:rsid w:val="0073782C"/>
    <w:rsid w:val="00737C95"/>
    <w:rsid w:val="00762218"/>
    <w:rsid w:val="00775F94"/>
    <w:rsid w:val="0078045B"/>
    <w:rsid w:val="0078648E"/>
    <w:rsid w:val="00796741"/>
    <w:rsid w:val="007A0B2E"/>
    <w:rsid w:val="007A166F"/>
    <w:rsid w:val="007A7E27"/>
    <w:rsid w:val="007C3562"/>
    <w:rsid w:val="007D4612"/>
    <w:rsid w:val="007E3D0F"/>
    <w:rsid w:val="008070BA"/>
    <w:rsid w:val="00807574"/>
    <w:rsid w:val="008212ED"/>
    <w:rsid w:val="00822067"/>
    <w:rsid w:val="008240DC"/>
    <w:rsid w:val="00832B44"/>
    <w:rsid w:val="00844C34"/>
    <w:rsid w:val="00861E5F"/>
    <w:rsid w:val="008711A0"/>
    <w:rsid w:val="00876AA3"/>
    <w:rsid w:val="00883CF9"/>
    <w:rsid w:val="00885504"/>
    <w:rsid w:val="008A2DF2"/>
    <w:rsid w:val="008B2ED0"/>
    <w:rsid w:val="008B53E3"/>
    <w:rsid w:val="008C28FF"/>
    <w:rsid w:val="008C5FE5"/>
    <w:rsid w:val="008E58D6"/>
    <w:rsid w:val="008E5BF8"/>
    <w:rsid w:val="00903223"/>
    <w:rsid w:val="00932466"/>
    <w:rsid w:val="00951145"/>
    <w:rsid w:val="00951408"/>
    <w:rsid w:val="0095249A"/>
    <w:rsid w:val="0095442B"/>
    <w:rsid w:val="00964AB4"/>
    <w:rsid w:val="009721EC"/>
    <w:rsid w:val="00980EB9"/>
    <w:rsid w:val="009A2F06"/>
    <w:rsid w:val="009A5A78"/>
    <w:rsid w:val="009A5D83"/>
    <w:rsid w:val="009B1491"/>
    <w:rsid w:val="009C0D1E"/>
    <w:rsid w:val="009C1EEA"/>
    <w:rsid w:val="009C386F"/>
    <w:rsid w:val="009C732C"/>
    <w:rsid w:val="009D174C"/>
    <w:rsid w:val="009D2F8B"/>
    <w:rsid w:val="009D7F31"/>
    <w:rsid w:val="009E252C"/>
    <w:rsid w:val="009E556B"/>
    <w:rsid w:val="009F4716"/>
    <w:rsid w:val="009F4732"/>
    <w:rsid w:val="009F759F"/>
    <w:rsid w:val="009F7FBB"/>
    <w:rsid w:val="00A04DA3"/>
    <w:rsid w:val="00A079BB"/>
    <w:rsid w:val="00A178DA"/>
    <w:rsid w:val="00A20582"/>
    <w:rsid w:val="00A32952"/>
    <w:rsid w:val="00A35FC2"/>
    <w:rsid w:val="00A470D5"/>
    <w:rsid w:val="00A6066C"/>
    <w:rsid w:val="00A74B30"/>
    <w:rsid w:val="00AA7078"/>
    <w:rsid w:val="00AB34CF"/>
    <w:rsid w:val="00AC1A61"/>
    <w:rsid w:val="00AD0A06"/>
    <w:rsid w:val="00AD367B"/>
    <w:rsid w:val="00AE2D16"/>
    <w:rsid w:val="00B07EDB"/>
    <w:rsid w:val="00B32603"/>
    <w:rsid w:val="00B35B8E"/>
    <w:rsid w:val="00B42D03"/>
    <w:rsid w:val="00B510E0"/>
    <w:rsid w:val="00B610E8"/>
    <w:rsid w:val="00B770FD"/>
    <w:rsid w:val="00B8707B"/>
    <w:rsid w:val="00B93448"/>
    <w:rsid w:val="00BA271E"/>
    <w:rsid w:val="00BA3D56"/>
    <w:rsid w:val="00BA5D17"/>
    <w:rsid w:val="00BC516A"/>
    <w:rsid w:val="00BF6215"/>
    <w:rsid w:val="00C21028"/>
    <w:rsid w:val="00C42B68"/>
    <w:rsid w:val="00C65D79"/>
    <w:rsid w:val="00C66539"/>
    <w:rsid w:val="00C90C70"/>
    <w:rsid w:val="00C933F6"/>
    <w:rsid w:val="00C95B79"/>
    <w:rsid w:val="00CA3D03"/>
    <w:rsid w:val="00CB1264"/>
    <w:rsid w:val="00CB38CD"/>
    <w:rsid w:val="00CD082C"/>
    <w:rsid w:val="00CD27AF"/>
    <w:rsid w:val="00CF3FE6"/>
    <w:rsid w:val="00D04885"/>
    <w:rsid w:val="00D23E3A"/>
    <w:rsid w:val="00D342DF"/>
    <w:rsid w:val="00D503FE"/>
    <w:rsid w:val="00D7656E"/>
    <w:rsid w:val="00D83F2B"/>
    <w:rsid w:val="00D90319"/>
    <w:rsid w:val="00D94FF4"/>
    <w:rsid w:val="00DB0455"/>
    <w:rsid w:val="00DC108E"/>
    <w:rsid w:val="00DE0C96"/>
    <w:rsid w:val="00DF1AC8"/>
    <w:rsid w:val="00DF4EDF"/>
    <w:rsid w:val="00E002FE"/>
    <w:rsid w:val="00E04697"/>
    <w:rsid w:val="00E078AA"/>
    <w:rsid w:val="00E135C7"/>
    <w:rsid w:val="00E13C09"/>
    <w:rsid w:val="00E40FB3"/>
    <w:rsid w:val="00E415AD"/>
    <w:rsid w:val="00E647A4"/>
    <w:rsid w:val="00E65313"/>
    <w:rsid w:val="00E71844"/>
    <w:rsid w:val="00E7351F"/>
    <w:rsid w:val="00E955F0"/>
    <w:rsid w:val="00EA3146"/>
    <w:rsid w:val="00EA334E"/>
    <w:rsid w:val="00EA64E9"/>
    <w:rsid w:val="00EC1541"/>
    <w:rsid w:val="00ED1E02"/>
    <w:rsid w:val="00EE242C"/>
    <w:rsid w:val="00EF02FB"/>
    <w:rsid w:val="00EF18AA"/>
    <w:rsid w:val="00EF2DD6"/>
    <w:rsid w:val="00F26145"/>
    <w:rsid w:val="00F26A44"/>
    <w:rsid w:val="00F34507"/>
    <w:rsid w:val="00F3757C"/>
    <w:rsid w:val="00F40114"/>
    <w:rsid w:val="00F438B3"/>
    <w:rsid w:val="00F460B2"/>
    <w:rsid w:val="00F602BB"/>
    <w:rsid w:val="00F605B4"/>
    <w:rsid w:val="00F93685"/>
    <w:rsid w:val="00FE7740"/>
    <w:rsid w:val="00FF1C66"/>
    <w:rsid w:val="77AC33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apple-converted-space"/>
    <w:basedOn w:val="7"/>
    <w:uiPriority w:val="0"/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3">
    <w:name w:val="无间隔 Char"/>
    <w:basedOn w:val="7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0691E4-6271-4951-9771-3AE4094EF0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598</Words>
  <Characters>3413</Characters>
  <Lines>28</Lines>
  <Paragraphs>8</Paragraphs>
  <TotalTime>971</TotalTime>
  <ScaleCrop>false</ScaleCrop>
  <LinksUpToDate>false</LinksUpToDate>
  <CharactersWithSpaces>4003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2017-11-27T02:50:00Z</dcterms:created>
  <dc:creator>微软用户</dc:creator>
  <cp:lastModifiedBy>妮妮</cp:lastModifiedBy>
  <dcterms:modified xsi:type="dcterms:W3CDTF">2020-11-05T13:40:22Z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