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《信息技术与小学学科教学深度融合的研究》课题成果公告</w:t>
      </w:r>
    </w:p>
    <w:p>
      <w:pPr>
        <w:spacing w:line="600" w:lineRule="exact"/>
        <w:rPr>
          <w:rFonts w:ascii="黑体" w:hAnsi="黑体" w:eastAsia="黑体" w:cs="黑体"/>
          <w:sz w:val="34"/>
          <w:szCs w:val="34"/>
        </w:rPr>
      </w:pPr>
      <w:r>
        <w:rPr>
          <w:rFonts w:hint="eastAsia" w:ascii="黑体" w:hAnsi="黑体" w:eastAsia="黑体" w:cs="黑体"/>
          <w:sz w:val="34"/>
          <w:szCs w:val="34"/>
        </w:rPr>
        <w:t>课题名称：</w:t>
      </w:r>
      <w:r>
        <w:rPr>
          <w:rFonts w:hint="eastAsia" w:ascii="仿宋_GB2312" w:hAnsi="仿宋_GB2312" w:eastAsia="仿宋_GB2312" w:cs="仿宋_GB2312"/>
          <w:sz w:val="34"/>
          <w:szCs w:val="34"/>
        </w:rPr>
        <w:t>信息技术与小学学科教学深度融合的研究</w:t>
      </w:r>
    </w:p>
    <w:p>
      <w:pPr>
        <w:spacing w:line="600" w:lineRule="exact"/>
        <w:rPr>
          <w:rFonts w:ascii="黑体" w:hAnsi="黑体" w:eastAsia="黑体" w:cs="黑体"/>
          <w:sz w:val="34"/>
          <w:szCs w:val="34"/>
        </w:rPr>
      </w:pPr>
      <w:r>
        <w:rPr>
          <w:rFonts w:hint="eastAsia" w:ascii="黑体" w:hAnsi="黑体" w:eastAsia="黑体" w:cs="黑体"/>
          <w:sz w:val="34"/>
          <w:szCs w:val="34"/>
        </w:rPr>
        <w:t>课题立项号：</w:t>
      </w:r>
      <w:r>
        <w:rPr>
          <w:rFonts w:hint="eastAsia" w:ascii="仿宋_GB2312" w:hAnsi="仿宋_GB2312" w:eastAsia="仿宋_GB2312" w:cs="仿宋_GB2312"/>
          <w:sz w:val="34"/>
          <w:szCs w:val="34"/>
        </w:rPr>
        <w:t>171201180141</w:t>
      </w:r>
    </w:p>
    <w:p>
      <w:pPr>
        <w:spacing w:line="600" w:lineRule="exact"/>
        <w:rPr>
          <w:rFonts w:ascii="黑体" w:hAnsi="黑体" w:eastAsia="黑体" w:cs="黑体"/>
          <w:sz w:val="34"/>
          <w:szCs w:val="34"/>
        </w:rPr>
      </w:pPr>
      <w:r>
        <w:rPr>
          <w:rFonts w:hint="eastAsia" w:ascii="黑体" w:hAnsi="黑体" w:eastAsia="黑体" w:cs="黑体"/>
          <w:sz w:val="34"/>
          <w:szCs w:val="34"/>
        </w:rPr>
        <w:t>课题类别：</w:t>
      </w:r>
      <w:r>
        <w:rPr>
          <w:rFonts w:hint="eastAsia" w:ascii="仿宋_GB2312" w:hAnsi="仿宋_GB2312" w:eastAsia="仿宋_GB2312" w:cs="仿宋_GB2312"/>
          <w:sz w:val="34"/>
          <w:szCs w:val="34"/>
        </w:rPr>
        <w:t>学校研究层面</w:t>
      </w:r>
    </w:p>
    <w:p>
      <w:pPr>
        <w:spacing w:line="600" w:lineRule="exact"/>
        <w:rPr>
          <w:rFonts w:ascii="仿宋_GB2312" w:hAnsi="仿宋_GB2312" w:eastAsia="仿宋_GB2312" w:cs="仿宋_GB2312"/>
          <w:sz w:val="34"/>
          <w:szCs w:val="34"/>
        </w:rPr>
      </w:pPr>
      <w:r>
        <w:rPr>
          <w:rFonts w:hint="eastAsia" w:ascii="黑体" w:hAnsi="黑体" w:eastAsia="黑体" w:cs="黑体"/>
          <w:sz w:val="34"/>
          <w:szCs w:val="34"/>
        </w:rPr>
        <w:t>学科分类：</w:t>
      </w:r>
      <w:r>
        <w:rPr>
          <w:rFonts w:hint="eastAsia" w:ascii="仿宋_GB2312" w:hAnsi="仿宋_GB2312" w:eastAsia="仿宋_GB2312" w:cs="仿宋_GB2312"/>
          <w:sz w:val="34"/>
          <w:szCs w:val="34"/>
        </w:rPr>
        <w:t>综合研究</w:t>
      </w:r>
    </w:p>
    <w:p>
      <w:pPr>
        <w:spacing w:line="600" w:lineRule="exact"/>
        <w:rPr>
          <w:rFonts w:ascii="仿宋_GB2312" w:hAnsi="仿宋_GB2312" w:eastAsia="仿宋_GB2312" w:cs="仿宋_GB2312"/>
          <w:sz w:val="34"/>
          <w:szCs w:val="34"/>
        </w:rPr>
      </w:pPr>
      <w:r>
        <w:rPr>
          <w:rFonts w:hint="eastAsia" w:ascii="黑体" w:hAnsi="黑体" w:eastAsia="黑体" w:cs="黑体"/>
          <w:sz w:val="34"/>
          <w:szCs w:val="34"/>
        </w:rPr>
        <w:t>课题承担单位：</w:t>
      </w:r>
      <w:r>
        <w:rPr>
          <w:rFonts w:hint="eastAsia" w:ascii="仿宋_GB2312" w:hAnsi="仿宋_GB2312" w:eastAsia="仿宋_GB2312" w:cs="仿宋_GB2312"/>
          <w:sz w:val="34"/>
          <w:szCs w:val="34"/>
        </w:rPr>
        <w:t>天津市静海区大邱庄镇尧舜小学</w:t>
      </w:r>
    </w:p>
    <w:p>
      <w:pPr>
        <w:spacing w:line="600" w:lineRule="exact"/>
        <w:rPr>
          <w:rFonts w:ascii="仿宋_GB2312" w:hAnsi="仿宋_GB2312" w:eastAsia="仿宋_GB2312" w:cs="仿宋_GB2312"/>
          <w:sz w:val="34"/>
          <w:szCs w:val="34"/>
        </w:rPr>
      </w:pPr>
      <w:r>
        <w:rPr>
          <w:rFonts w:hint="eastAsia" w:ascii="黑体" w:hAnsi="黑体" w:eastAsia="黑体" w:cs="黑体"/>
          <w:sz w:val="34"/>
          <w:szCs w:val="34"/>
        </w:rPr>
        <w:t>课题负责人：</w:t>
      </w:r>
      <w:r>
        <w:rPr>
          <w:rFonts w:hint="eastAsia" w:ascii="仿宋_GB2312" w:hAnsi="仿宋_GB2312" w:eastAsia="仿宋_GB2312" w:cs="仿宋_GB2312"/>
          <w:sz w:val="34"/>
          <w:szCs w:val="34"/>
        </w:rPr>
        <w:t>朱静华  小学高级教师</w:t>
      </w:r>
    </w:p>
    <w:p>
      <w:pPr>
        <w:spacing w:line="600" w:lineRule="exact"/>
        <w:rPr>
          <w:rFonts w:ascii="仿宋_GB2312" w:hAnsi="仿宋_GB2312" w:eastAsia="仿宋_GB2312" w:cs="仿宋_GB2312"/>
          <w:sz w:val="34"/>
          <w:szCs w:val="34"/>
        </w:rPr>
      </w:pPr>
      <w:r>
        <w:rPr>
          <w:rFonts w:hint="eastAsia" w:ascii="黑体" w:hAnsi="黑体" w:eastAsia="黑体" w:cs="黑体"/>
          <w:sz w:val="34"/>
          <w:szCs w:val="34"/>
        </w:rPr>
        <w:t>主要研究人员：</w:t>
      </w:r>
      <w:r>
        <w:rPr>
          <w:rFonts w:hint="eastAsia" w:ascii="仿宋_GB2312" w:hAnsi="仿宋_GB2312" w:eastAsia="仿宋_GB2312" w:cs="仿宋_GB2312"/>
          <w:sz w:val="34"/>
          <w:szCs w:val="34"/>
        </w:rPr>
        <w:t>安静 王晓莹 王萌萌 邓庆林 穆瑞 郝娟 王凤 王会云 陈喜荣 杨金荣。</w:t>
      </w:r>
    </w:p>
    <w:p>
      <w:pPr>
        <w:spacing w:line="600" w:lineRule="exact"/>
        <w:rPr>
          <w:rFonts w:ascii="黑体" w:hAnsi="黑体" w:eastAsia="黑体" w:cs="黑体"/>
          <w:sz w:val="34"/>
          <w:szCs w:val="34"/>
        </w:rPr>
      </w:pPr>
      <w:r>
        <w:rPr>
          <w:rFonts w:hint="eastAsia" w:ascii="黑体" w:hAnsi="黑体" w:eastAsia="黑体" w:cs="黑体"/>
          <w:sz w:val="34"/>
          <w:szCs w:val="34"/>
        </w:rPr>
        <w:t>正文内容：</w:t>
      </w:r>
    </w:p>
    <w:p>
      <w:pPr>
        <w:numPr>
          <w:ilvl w:val="0"/>
          <w:numId w:val="1"/>
        </w:numPr>
        <w:spacing w:line="600" w:lineRule="exact"/>
        <w:ind w:firstLine="680" w:firstLineChars="200"/>
        <w:rPr>
          <w:rFonts w:ascii="黑体" w:hAnsi="黑体" w:eastAsia="黑体" w:cs="黑体"/>
          <w:sz w:val="34"/>
          <w:szCs w:val="34"/>
        </w:rPr>
      </w:pPr>
      <w:r>
        <w:rPr>
          <w:rFonts w:hint="eastAsia" w:ascii="黑体" w:hAnsi="黑体" w:eastAsia="黑体" w:cs="黑体"/>
          <w:sz w:val="34"/>
          <w:szCs w:val="34"/>
        </w:rPr>
        <w:t>研究内容与方法</w:t>
      </w:r>
    </w:p>
    <w:p>
      <w:pPr>
        <w:numPr>
          <w:ilvl w:val="0"/>
          <w:numId w:val="2"/>
        </w:num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研究内容</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1.我校在现代信息教育技术与小学学科教学融合方面存在问题的调查与研究。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2.教师将现代信息教育技术与小学学科教学融合策略、技能的研究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3.信息集成化提高学习效率的研究和现代信息教育技术与小学学科教学深度融合教学模式的研究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4.利用现代信息教育技术动态效果提高学生自主、合作学习的研究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（二）研究方法</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1.文献研究法：调研国内外信息技术与小学学科教学整合的现状。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2.访谈法：访谈教师，了解教师教育技术能力水平，对资源的需求以及信息技术在学科教学中运用的主要方法；访谈学生，了解他们对学习资源的需求以及在学习知识时最希望掌握的信息技术。</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3.问卷调查法：设计针对教师和学生的调查问卷，了解信息技术在学科教学中应用现状，及对教育资源、教学方式的需求。</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4.行动研究法：以解决实际问题为目的，对实践进行不断反思，包括计划、实践、总结、反思四个步骤。</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5.案例研究法：研究信息技术与学科教学深度融合的案例，探索促进教师专业发展、提升学生信息素养的策略。</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6.经验总结法：总结课题研究过程中取得的经验，提炼阶段成果，形成应用理论。</w:t>
      </w:r>
    </w:p>
    <w:p>
      <w:pPr>
        <w:numPr>
          <w:ilvl w:val="0"/>
          <w:numId w:val="1"/>
        </w:numPr>
        <w:spacing w:line="600" w:lineRule="exact"/>
        <w:ind w:firstLine="680" w:firstLineChars="200"/>
        <w:rPr>
          <w:rFonts w:ascii="黑体" w:hAnsi="黑体" w:eastAsia="黑体" w:cs="黑体"/>
          <w:sz w:val="34"/>
          <w:szCs w:val="34"/>
        </w:rPr>
      </w:pPr>
      <w:r>
        <w:rPr>
          <w:rFonts w:hint="eastAsia" w:ascii="黑体" w:hAnsi="黑体" w:eastAsia="黑体" w:cs="黑体"/>
          <w:sz w:val="34"/>
          <w:szCs w:val="34"/>
        </w:rPr>
        <w:t>课题研究结论</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通过近三年多的实验与探索，充分证明了现代信息教育技术与小学学科教学深度融合的研究是具有现实意义和长远意义的，从操作过程和实验成果来看，是科学的、有效的。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语文学科组研讨“课堂教学中视频与音频应用的利与弊”课堂教学中运用信息教育技术，不仅激发学生兴趣，而且也可以打破时间和空间、微观和宏观、历史和现实的限制，能让学生清楚地看到事物发展的全过程。但有的课堂教学片面夸大了信息技术在教学中的作用，忽略了教师应有的主导作用，盲目追潮流，并没有达到理想的教学效果。对于语文这门工具性学科，着重培养学生掌握和运用语言文字的能力，所以学生对文本的朗读，对语言文字的感悟、体会、实践是必不可少的。在语文课堂教学中，如果过多过滥地使用视频和音频会适得其反。教学中音频视频的运用要注意适时适当，不能喧宾夺主，代替传统的优质教学手段，如教师范读，学生想象等，从而削弱学生语文能力的培养；不能只为活跃气氛，激发学生兴趣而盲目使用音频视频，多媒体永远是辅助教学手段，不能喧宾夺主，应使其发挥推波助澜的作用；视频音频的播放应与教学内容紧密相关，播放时机要与教学环节衔接自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（二）数学学科组研讨“电子白板在数学课堂教学中的恰当运用”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数学课堂教学中电子白板使用较多，因此数学组教师对“电子白板在数学课堂教学中的恰当运用”进行了研讨。大部分教师对电子白板的使用都比较认可，教学中恰当使用确实起到了事半功倍的作用。其图文并茂、声像并举、能动会变、形象直观的特点使抽象的数学内容形象化、清晰化，使数学知识由静态的灌输变为动态传播，从而优化教学过程，提高教学效率。但是电子白板教学也存在一定的局限性。随着现代科技的不断发展，电子白板的种类繁多，教师的选择也越来越多，这对于使用技术要求会更高。有的教师课堂教学中实际操作不熟练，经常出现故障，不但效果没有呈现反而耽误了宝贵的时间。还有教师过分依赖于电子白板，代替了传统的教学手段，省略了学生的训练过程，忽略了黑板的作用，所以要求教师必须结合教学实际，恰当运用。数学组教师结合自己在教学中运用电子白板的情况，交流研讨，哪部分知识最适合运用，哪部分知识不适合运用；课堂教学中哪个环节适合运用，哪个环节不适合用运用；电子白板运用过程中出现了哪些问题，老师们认真做了分析和反思，吸取教训，总结经验，扬长避短，使现代教育技术更恰当巧妙地辅助教学。</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（三）英语学科组研讨“英语课堂教学中点读机的恰当运用”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英语学科教学离不开读，老师的范读、领读，学生的仿读、练读，几乎每课时都涉及到。因此点读机在英语课堂教学中普遍运用。点读机的功效不置可否，但是点读机贯穿整个课堂也是不可取的。在课题研究期间，英语学科组教师就点读机这一信息技术在课堂教学中的恰当运用进行了研讨。老师们结合自己的教学实际情况纷纷发表自己的意见，对点读机使用的时机和频率，如何恰当使用等方面进行交流探讨。最后达成共识：点读机不能贯穿整个课堂，全权代替教师；点读机中英语歌的播放，穿插在教学当中，活跃气氛，缓解学生学习压力；点读机的运用要结合教学内容和学生实际，有取有舍，选择使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2017年9月，信息技术教育技术与学科教学的融合初见成效，教研组成员每周进行一次相关主题的研讨。在区先进教研组验收中美术教研组的研讨主题《信息教育技术在美术教学中的恰当运用》得到区教研员的一致认可，并被评为区级先进教研组。</w:t>
      </w:r>
    </w:p>
    <w:p>
      <w:pPr>
        <w:numPr>
          <w:numId w:val="0"/>
        </w:numPr>
        <w:spacing w:line="600" w:lineRule="exact"/>
        <w:ind w:firstLine="680" w:firstLineChars="200"/>
        <w:rPr>
          <w:rFonts w:ascii="楷体" w:hAnsi="楷体" w:eastAsia="楷体" w:cs="黑体"/>
          <w:color w:val="FF0000"/>
          <w:sz w:val="28"/>
          <w:szCs w:val="28"/>
        </w:rPr>
      </w:pPr>
      <w:r>
        <w:rPr>
          <w:rFonts w:hint="eastAsia" w:ascii="黑体" w:hAnsi="黑体" w:eastAsia="黑体" w:cs="黑体"/>
          <w:sz w:val="34"/>
          <w:szCs w:val="34"/>
          <w:lang w:eastAsia="zh-CN"/>
        </w:rPr>
        <w:t>三、</w:t>
      </w:r>
      <w:r>
        <w:rPr>
          <w:rFonts w:hint="eastAsia" w:ascii="黑体" w:hAnsi="黑体" w:eastAsia="黑体" w:cs="黑体"/>
          <w:sz w:val="34"/>
          <w:szCs w:val="34"/>
        </w:rPr>
        <w:t>课题研究成果和影响</w:t>
      </w:r>
    </w:p>
    <w:p>
      <w:pPr>
        <w:numPr>
          <w:numId w:val="0"/>
        </w:numPr>
        <w:spacing w:line="600" w:lineRule="exact"/>
        <w:ind w:firstLine="680" w:firstLineChars="200"/>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一）针对研究进程中呈现的问题与思考，我校课题组教师一边学习有关理论知识，一边对研讨课的失败与成功进行梳理总结。我们明白了传统教学手段和现代教学手段各有各的优势，选择教学手段并不是越高级越好。一节课中，往往需要用到多种方法和手段，要注意优化组合。成功的课堂往往是多种教学手段和教学方法有机结合、灵活运用。因此，我们树立整合思想，把现代化教学手段和传统教学手段（教具、学具、黑板）有机结合起来使用，优势互补，而不是简单地相互替代。在选择和运用多媒体时，注意多媒体与教学内容的统一性，注意多媒体与教学方法的协调性，注意多媒体与认知水平的相容性，注意形式上的美观性和手段的创新性。我们清醒地认识到，推进信息技术与小学学科有效整合，不是为了整合而整合，而是通过信息化的推进，实现学校现代化教育的发展。</w:t>
      </w:r>
    </w:p>
    <w:p>
      <w:pPr>
        <w:numPr>
          <w:numId w:val="0"/>
        </w:numPr>
        <w:spacing w:line="600" w:lineRule="exact"/>
        <w:ind w:firstLine="680" w:firstLineChars="200"/>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（二）课题组成员获奖统计</w:t>
      </w:r>
    </w:p>
    <w:tbl>
      <w:tblPr>
        <w:tblStyle w:val="5"/>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29"/>
        <w:gridCol w:w="2445"/>
        <w:gridCol w:w="1638"/>
        <w:gridCol w:w="170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 w:type="dxa"/>
          </w:tcPr>
          <w:p>
            <w:pPr>
              <w:widowControl w:val="0"/>
              <w:numPr>
                <w:numId w:val="0"/>
              </w:numPr>
              <w:spacing w:line="600" w:lineRule="exact"/>
              <w:jc w:val="center"/>
              <w:rPr>
                <w:rFonts w:hint="eastAsia" w:ascii="仿宋_GB2312" w:hAnsi="仿宋_GB2312" w:eastAsia="仿宋_GB2312" w:cs="仿宋_GB2312"/>
                <w:sz w:val="34"/>
                <w:szCs w:val="34"/>
                <w:vertAlign w:val="baseline"/>
                <w:lang w:eastAsia="zh-CN"/>
              </w:rPr>
            </w:pPr>
            <w:r>
              <w:rPr>
                <w:rFonts w:hint="eastAsia" w:ascii="仿宋_GB2312" w:hAnsi="仿宋_GB2312" w:eastAsia="仿宋_GB2312" w:cs="仿宋_GB2312"/>
                <w:sz w:val="34"/>
                <w:szCs w:val="34"/>
                <w:vertAlign w:val="baseline"/>
                <w:lang w:eastAsia="zh-CN"/>
              </w:rPr>
              <w:t>教师</w:t>
            </w:r>
          </w:p>
        </w:tc>
        <w:tc>
          <w:tcPr>
            <w:tcW w:w="2445" w:type="dxa"/>
          </w:tcPr>
          <w:p>
            <w:pPr>
              <w:widowControl w:val="0"/>
              <w:numPr>
                <w:numId w:val="0"/>
              </w:numPr>
              <w:spacing w:line="600" w:lineRule="exact"/>
              <w:jc w:val="center"/>
              <w:rPr>
                <w:rFonts w:hint="eastAsia" w:ascii="仿宋_GB2312" w:hAnsi="仿宋_GB2312" w:eastAsia="仿宋_GB2312" w:cs="仿宋_GB2312"/>
                <w:sz w:val="34"/>
                <w:szCs w:val="34"/>
                <w:vertAlign w:val="baseline"/>
                <w:lang w:eastAsia="zh-CN"/>
              </w:rPr>
            </w:pPr>
            <w:r>
              <w:rPr>
                <w:rFonts w:hint="eastAsia" w:ascii="仿宋_GB2312" w:hAnsi="仿宋_GB2312" w:eastAsia="仿宋_GB2312" w:cs="仿宋_GB2312"/>
                <w:sz w:val="34"/>
                <w:szCs w:val="34"/>
                <w:vertAlign w:val="baseline"/>
                <w:lang w:eastAsia="zh-CN"/>
              </w:rPr>
              <w:t>获奖名称</w:t>
            </w:r>
          </w:p>
        </w:tc>
        <w:tc>
          <w:tcPr>
            <w:tcW w:w="1638" w:type="dxa"/>
          </w:tcPr>
          <w:p>
            <w:pPr>
              <w:widowControl w:val="0"/>
              <w:numPr>
                <w:numId w:val="0"/>
              </w:numPr>
              <w:spacing w:line="600" w:lineRule="exact"/>
              <w:jc w:val="center"/>
              <w:rPr>
                <w:rFonts w:hint="eastAsia" w:ascii="仿宋_GB2312" w:hAnsi="仿宋_GB2312" w:eastAsia="仿宋_GB2312" w:cs="仿宋_GB2312"/>
                <w:sz w:val="34"/>
                <w:szCs w:val="34"/>
                <w:vertAlign w:val="baseline"/>
                <w:lang w:eastAsia="zh-CN"/>
              </w:rPr>
            </w:pPr>
            <w:r>
              <w:rPr>
                <w:rFonts w:hint="eastAsia" w:ascii="仿宋_GB2312" w:hAnsi="仿宋_GB2312" w:eastAsia="仿宋_GB2312" w:cs="仿宋_GB2312"/>
                <w:sz w:val="34"/>
                <w:szCs w:val="34"/>
                <w:vertAlign w:val="baseline"/>
                <w:lang w:eastAsia="zh-CN"/>
              </w:rPr>
              <w:t>获奖形式</w:t>
            </w:r>
          </w:p>
        </w:tc>
        <w:tc>
          <w:tcPr>
            <w:tcW w:w="1705" w:type="dxa"/>
          </w:tcPr>
          <w:p>
            <w:pPr>
              <w:widowControl w:val="0"/>
              <w:numPr>
                <w:numId w:val="0"/>
              </w:numPr>
              <w:spacing w:line="600" w:lineRule="exact"/>
              <w:jc w:val="center"/>
              <w:rPr>
                <w:rFonts w:hint="eastAsia" w:ascii="仿宋_GB2312" w:hAnsi="仿宋_GB2312" w:eastAsia="仿宋_GB2312" w:cs="仿宋_GB2312"/>
                <w:sz w:val="34"/>
                <w:szCs w:val="34"/>
                <w:vertAlign w:val="baseline"/>
                <w:lang w:eastAsia="zh-CN"/>
              </w:rPr>
            </w:pPr>
            <w:r>
              <w:rPr>
                <w:rFonts w:hint="eastAsia" w:ascii="仿宋_GB2312" w:hAnsi="仿宋_GB2312" w:eastAsia="仿宋_GB2312" w:cs="仿宋_GB2312"/>
                <w:sz w:val="34"/>
                <w:szCs w:val="34"/>
                <w:vertAlign w:val="baseline"/>
                <w:lang w:eastAsia="zh-CN"/>
              </w:rPr>
              <w:t>获奖等级</w:t>
            </w:r>
          </w:p>
        </w:tc>
        <w:tc>
          <w:tcPr>
            <w:tcW w:w="2387" w:type="dxa"/>
          </w:tcPr>
          <w:p>
            <w:pPr>
              <w:widowControl w:val="0"/>
              <w:numPr>
                <w:numId w:val="0"/>
              </w:numPr>
              <w:spacing w:line="600" w:lineRule="exact"/>
              <w:jc w:val="center"/>
              <w:rPr>
                <w:rFonts w:hint="eastAsia" w:ascii="仿宋_GB2312" w:hAnsi="仿宋_GB2312" w:eastAsia="仿宋_GB2312" w:cs="仿宋_GB2312"/>
                <w:sz w:val="34"/>
                <w:szCs w:val="34"/>
                <w:vertAlign w:val="baseline"/>
                <w:lang w:eastAsia="zh-CN"/>
              </w:rPr>
            </w:pPr>
            <w:r>
              <w:rPr>
                <w:rFonts w:hint="eastAsia" w:ascii="仿宋_GB2312" w:hAnsi="仿宋_GB2312" w:eastAsia="仿宋_GB2312" w:cs="仿宋_GB2312"/>
                <w:sz w:val="34"/>
                <w:szCs w:val="34"/>
                <w:vertAlign w:val="baseline"/>
                <w:lang w:eastAsia="zh-CN"/>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王萌萌</w:t>
            </w:r>
          </w:p>
        </w:tc>
        <w:tc>
          <w:tcPr>
            <w:tcW w:w="244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浅谈信息技术在小学数学教学中的应用</w:t>
            </w:r>
          </w:p>
        </w:tc>
        <w:tc>
          <w:tcPr>
            <w:tcW w:w="1638"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论文</w:t>
            </w:r>
          </w:p>
        </w:tc>
        <w:tc>
          <w:tcPr>
            <w:tcW w:w="1705" w:type="dxa"/>
          </w:tcPr>
          <w:p>
            <w:pPr>
              <w:widowControl w:val="0"/>
              <w:numPr>
                <w:numId w:val="0"/>
              </w:numPr>
              <w:spacing w:line="60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区级二等奖</w:t>
            </w:r>
          </w:p>
        </w:tc>
        <w:tc>
          <w:tcPr>
            <w:tcW w:w="2387"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静海区电化教育中心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杨金荣</w:t>
            </w:r>
          </w:p>
        </w:tc>
        <w:tc>
          <w:tcPr>
            <w:tcW w:w="244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静海区信息技术应用优秀论文评比</w:t>
            </w:r>
          </w:p>
        </w:tc>
        <w:tc>
          <w:tcPr>
            <w:tcW w:w="1638"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论文</w:t>
            </w:r>
          </w:p>
        </w:tc>
        <w:tc>
          <w:tcPr>
            <w:tcW w:w="170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区级一等奖</w:t>
            </w:r>
          </w:p>
        </w:tc>
        <w:tc>
          <w:tcPr>
            <w:tcW w:w="2387"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静海区电化教育中心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王会云</w:t>
            </w:r>
          </w:p>
        </w:tc>
        <w:tc>
          <w:tcPr>
            <w:tcW w:w="2445" w:type="dxa"/>
          </w:tcPr>
          <w:p>
            <w:pPr>
              <w:widowControl w:val="0"/>
              <w:numPr>
                <w:numId w:val="0"/>
              </w:numPr>
              <w:spacing w:line="60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2018年天津市青少年创意编程活动</w:t>
            </w:r>
          </w:p>
        </w:tc>
        <w:tc>
          <w:tcPr>
            <w:tcW w:w="1638"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编程作品</w:t>
            </w:r>
          </w:p>
        </w:tc>
        <w:tc>
          <w:tcPr>
            <w:tcW w:w="170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优秀指导教师</w:t>
            </w:r>
          </w:p>
        </w:tc>
        <w:tc>
          <w:tcPr>
            <w:tcW w:w="2387"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天津市青少年科技中心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王凤</w:t>
            </w:r>
          </w:p>
        </w:tc>
        <w:tc>
          <w:tcPr>
            <w:tcW w:w="2445" w:type="dxa"/>
          </w:tcPr>
          <w:p>
            <w:pPr>
              <w:widowControl w:val="0"/>
              <w:numPr>
                <w:numId w:val="0"/>
              </w:numPr>
              <w:spacing w:line="60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《幸福拍手歌》</w:t>
            </w:r>
          </w:p>
        </w:tc>
        <w:tc>
          <w:tcPr>
            <w:tcW w:w="1638"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优秀课</w:t>
            </w:r>
          </w:p>
        </w:tc>
        <w:tc>
          <w:tcPr>
            <w:tcW w:w="170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区级二等奖</w:t>
            </w:r>
          </w:p>
        </w:tc>
        <w:tc>
          <w:tcPr>
            <w:tcW w:w="2387"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静海区电化教育中心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王萌萌</w:t>
            </w:r>
          </w:p>
        </w:tc>
        <w:tc>
          <w:tcPr>
            <w:tcW w:w="244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小学数学与信息技术的深度融合方式解读</w:t>
            </w:r>
          </w:p>
        </w:tc>
        <w:tc>
          <w:tcPr>
            <w:tcW w:w="1638"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论文</w:t>
            </w:r>
          </w:p>
        </w:tc>
        <w:tc>
          <w:tcPr>
            <w:tcW w:w="170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区级三等奖</w:t>
            </w:r>
          </w:p>
        </w:tc>
        <w:tc>
          <w:tcPr>
            <w:tcW w:w="2387"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静海区教育学会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穆瑞</w:t>
            </w:r>
          </w:p>
        </w:tc>
        <w:tc>
          <w:tcPr>
            <w:tcW w:w="244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《枫树上的喜鹊》</w:t>
            </w:r>
          </w:p>
        </w:tc>
        <w:tc>
          <w:tcPr>
            <w:tcW w:w="1638"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优秀课件</w:t>
            </w:r>
          </w:p>
        </w:tc>
        <w:tc>
          <w:tcPr>
            <w:tcW w:w="170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区级三等奖</w:t>
            </w:r>
          </w:p>
        </w:tc>
        <w:tc>
          <w:tcPr>
            <w:tcW w:w="2387"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静海区电化教育中心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安静</w:t>
            </w:r>
          </w:p>
        </w:tc>
        <w:tc>
          <w:tcPr>
            <w:tcW w:w="244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《最大有公因数》</w:t>
            </w:r>
          </w:p>
        </w:tc>
        <w:tc>
          <w:tcPr>
            <w:tcW w:w="1638"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优秀课</w:t>
            </w:r>
          </w:p>
        </w:tc>
        <w:tc>
          <w:tcPr>
            <w:tcW w:w="170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区级一等奖</w:t>
            </w:r>
          </w:p>
        </w:tc>
        <w:tc>
          <w:tcPr>
            <w:tcW w:w="2387"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静海区教育局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安静</w:t>
            </w:r>
          </w:p>
        </w:tc>
        <w:tc>
          <w:tcPr>
            <w:tcW w:w="244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《因数中间或末尾有0的乘法》</w:t>
            </w:r>
          </w:p>
        </w:tc>
        <w:tc>
          <w:tcPr>
            <w:tcW w:w="1638"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优秀课</w:t>
            </w:r>
          </w:p>
        </w:tc>
        <w:tc>
          <w:tcPr>
            <w:tcW w:w="170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市级优课</w:t>
            </w:r>
          </w:p>
        </w:tc>
        <w:tc>
          <w:tcPr>
            <w:tcW w:w="2387"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天津市中小学教育教学研究室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29"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王晓莹</w:t>
            </w:r>
          </w:p>
        </w:tc>
        <w:tc>
          <w:tcPr>
            <w:tcW w:w="244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《运用平移知识解决面积问题》</w:t>
            </w:r>
          </w:p>
        </w:tc>
        <w:tc>
          <w:tcPr>
            <w:tcW w:w="1638"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优秀微课</w:t>
            </w:r>
          </w:p>
        </w:tc>
        <w:tc>
          <w:tcPr>
            <w:tcW w:w="1705"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市级二等奖</w:t>
            </w:r>
          </w:p>
        </w:tc>
        <w:tc>
          <w:tcPr>
            <w:tcW w:w="2387" w:type="dxa"/>
          </w:tcPr>
          <w:p>
            <w:pPr>
              <w:widowControl w:val="0"/>
              <w:numPr>
                <w:numId w:val="0"/>
              </w:numPr>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天津市中小学教育教学研究室</w:t>
            </w:r>
          </w:p>
        </w:tc>
      </w:tr>
    </w:tbl>
    <w:p>
      <w:pPr>
        <w:numPr>
          <w:numId w:val="0"/>
        </w:numPr>
        <w:spacing w:line="600" w:lineRule="exact"/>
        <w:ind w:firstLine="680" w:firstLineChars="200"/>
        <w:rPr>
          <w:rFonts w:ascii="黑体" w:hAnsi="黑体" w:eastAsia="黑体" w:cs="黑体"/>
          <w:sz w:val="34"/>
          <w:szCs w:val="34"/>
        </w:rPr>
      </w:pPr>
      <w:bookmarkStart w:id="0" w:name="_GoBack"/>
      <w:bookmarkEnd w:id="0"/>
      <w:r>
        <w:rPr>
          <w:rFonts w:hint="eastAsia" w:ascii="黑体" w:hAnsi="黑体" w:eastAsia="黑体" w:cs="黑体"/>
          <w:sz w:val="34"/>
          <w:szCs w:val="34"/>
          <w:lang w:eastAsia="zh-CN"/>
        </w:rPr>
        <w:t>四、</w:t>
      </w:r>
      <w:r>
        <w:rPr>
          <w:rFonts w:hint="eastAsia" w:ascii="黑体" w:hAnsi="黑体" w:eastAsia="黑体" w:cs="黑体"/>
          <w:sz w:val="34"/>
          <w:szCs w:val="34"/>
        </w:rPr>
        <w:t>改进与完善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近三年的研究中，我们积极开展运用现代教育技术进行学科教学的活动，实验课堂教学中，学生气氛活跃了，知识面开阔了，兴趣提高了，分析问题、解决问题的能力增强了。但在实验过程中，我们还存有一些需要改进和完善的地方：</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（一）如何通过课题的研究以及利用现代信息教育技术加强教学过程的设计与开发。</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（二）教师现代信息技术运用能力的参差不齐，有碍于课题研究的进展。由于课题组成员存在年龄的差异，少部分教师的教学观念还较落后，现代信息技术的应用能力还偏弱，有时会影响课题的开展。</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（三）在信息教育技术与学科教学深度融合课堂教学中，个别学生的自我约束能力较差，容易失控，资源的大量化、多样化容易掩盖分析思考过程，一些基础知识容易被忽视等，如何避免，还没有有效的方法。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9385"/>
    <w:multiLevelType w:val="singleLevel"/>
    <w:tmpl w:val="0BA89385"/>
    <w:lvl w:ilvl="0" w:tentative="0">
      <w:start w:val="1"/>
      <w:numFmt w:val="chineseCounting"/>
      <w:suff w:val="nothing"/>
      <w:lvlText w:val="%1、"/>
      <w:lvlJc w:val="left"/>
      <w:rPr>
        <w:rFonts w:hint="eastAsia"/>
        <w:color w:val="auto"/>
      </w:rPr>
    </w:lvl>
  </w:abstractNum>
  <w:abstractNum w:abstractNumId="1">
    <w:nsid w:val="2383423A"/>
    <w:multiLevelType w:val="singleLevel"/>
    <w:tmpl w:val="238342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68"/>
    <w:rsid w:val="002F565A"/>
    <w:rsid w:val="0068362D"/>
    <w:rsid w:val="00750168"/>
    <w:rsid w:val="009E23FE"/>
    <w:rsid w:val="00BB3BD4"/>
    <w:rsid w:val="00CF3FF3"/>
    <w:rsid w:val="063F7BF9"/>
    <w:rsid w:val="501469DA"/>
    <w:rsid w:val="6D9C2BD3"/>
    <w:rsid w:val="76A907F1"/>
    <w:rsid w:val="78DA2289"/>
    <w:rsid w:val="7F0F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479</Words>
  <Characters>2734</Characters>
  <Lines>22</Lines>
  <Paragraphs>6</Paragraphs>
  <TotalTime>7</TotalTime>
  <ScaleCrop>false</ScaleCrop>
  <LinksUpToDate>false</LinksUpToDate>
  <CharactersWithSpaces>3207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安静</cp:lastModifiedBy>
  <dcterms:modified xsi:type="dcterms:W3CDTF">2020-11-09T01:19:07Z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