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jc w:val="center"/>
        <w:rPr>
          <w:rFonts w:hint="eastAsia" w:ascii="黑体" w:hAnsi="宋体" w:eastAsia="黑体" w:cs="宋体"/>
          <w:b/>
          <w:color w:val="000000"/>
          <w:kern w:val="0"/>
          <w:sz w:val="48"/>
          <w:szCs w:val="48"/>
        </w:rPr>
      </w:pPr>
      <w:r>
        <w:rPr>
          <w:rFonts w:hint="eastAsia" w:ascii="黑体" w:hAnsi="宋体" w:eastAsia="黑体" w:cs="宋体"/>
          <w:b/>
          <w:color w:val="000000"/>
          <w:kern w:val="0"/>
          <w:sz w:val="48"/>
          <w:szCs w:val="48"/>
        </w:rPr>
        <w:t>《数字校园环境下教学手段的研究》</w:t>
      </w:r>
    </w:p>
    <w:p>
      <w:pPr>
        <w:jc w:val="center"/>
        <w:rPr>
          <w:rFonts w:hint="eastAsia" w:ascii="黑体" w:hAnsi="宋体" w:eastAsia="黑体" w:cs="宋体"/>
          <w:b/>
          <w:color w:val="000000"/>
          <w:kern w:val="0"/>
          <w:sz w:val="48"/>
          <w:szCs w:val="48"/>
        </w:rPr>
      </w:pPr>
      <w:r>
        <w:rPr>
          <w:rFonts w:hint="eastAsia" w:ascii="黑体" w:hAnsi="宋体" w:eastAsia="黑体" w:cs="宋体"/>
          <w:b/>
          <w:color w:val="000000"/>
          <w:kern w:val="0"/>
          <w:sz w:val="48"/>
          <w:szCs w:val="48"/>
        </w:rPr>
        <w:t>工 作 报 告</w:t>
      </w: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ind w:firstLine="537" w:firstLineChars="192"/>
        <w:jc w:val="center"/>
        <w:rPr>
          <w:rFonts w:hint="eastAsia" w:ascii="宋体" w:hAnsi="宋体" w:cs="宋体"/>
          <w:color w:val="000000"/>
          <w:kern w:val="0"/>
          <w:sz w:val="28"/>
          <w:szCs w:val="28"/>
        </w:rPr>
      </w:pPr>
    </w:p>
    <w:p>
      <w:pPr>
        <w:jc w:val="center"/>
        <w:rPr>
          <w:rFonts w:hint="eastAsia"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《数字校园环境下教学手段的研究》课题组</w:t>
      </w:r>
    </w:p>
    <w:p>
      <w:pPr>
        <w:ind w:firstLine="540" w:firstLineChars="192"/>
        <w:rPr>
          <w:rFonts w:hint="eastAsia" w:ascii="宋体" w:hAnsi="宋体" w:cs="Tahoma"/>
          <w:b/>
          <w:bCs/>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p>
    <w:p>
      <w:pPr>
        <w:ind w:firstLine="537" w:firstLineChars="192"/>
        <w:rPr>
          <w:rFonts w:hint="eastAsia" w:ascii="宋体" w:hAnsi="宋体" w:cs="宋体"/>
          <w:color w:val="000000"/>
          <w:kern w:val="0"/>
          <w:sz w:val="28"/>
          <w:szCs w:val="28"/>
        </w:rPr>
      </w:pPr>
      <w:r>
        <w:rPr>
          <w:rFonts w:hint="eastAsia" w:ascii="宋体" w:hAnsi="宋体" w:cs="宋体"/>
          <w:color w:val="000000"/>
          <w:kern w:val="0"/>
          <w:sz w:val="28"/>
          <w:szCs w:val="28"/>
        </w:rPr>
        <w:t>一、课题研究背景及原因</w:t>
      </w:r>
    </w:p>
    <w:p>
      <w:pPr>
        <w:adjustRightInd w:val="0"/>
        <w:snapToGrid w:val="0"/>
        <w:spacing w:line="360" w:lineRule="auto"/>
        <w:ind w:left="1"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(一)课题提出的背景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21世纪是信息技术的时代，随着教育信息化的飞速发展，现代信息化教学手段已经成为课堂教学的重中之重。经过历年来的教育推进和改革，中国教育信息化发展目标定位于：深化信息技术的支持和引领作用，让教学手段信息化深度融入课堂，教育信息化普及大众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为了促进天津市教育信息化工作的深入开展，提升信息技术在教育教学中的应用水平，天津市电教馆在全市开展了天津市教育信息技术课题研究的工作，力图通过在全市中小学开展全方位的信息化实验、研究，构建信息技术在学校管理、在课堂教与学中的应用的模式，探索基础教育信息化应用的区域性整体推进模式，促进信息技术与教育教学融合创新、深化应用，促进数字化校园模式的探索，推进素质教育深度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我们学校是一所初高中完中校，经过2015年高中现代化达标验收及“三通两平台”建设，我校的现代化教育技术设备已初步进入课堂，硬件水平已具有一定规模，这是我校实现现代化教育跨越发展的历史机遇，也是时代赋予我们的责任。</w:t>
      </w:r>
    </w:p>
    <w:p>
      <w:pPr>
        <w:ind w:firstLine="537" w:firstLineChars="192"/>
        <w:rPr>
          <w:rFonts w:hint="eastAsia" w:ascii="宋体" w:hAnsi="宋体"/>
          <w:sz w:val="28"/>
          <w:szCs w:val="28"/>
        </w:rPr>
      </w:pPr>
      <w:r>
        <w:rPr>
          <w:rFonts w:hint="eastAsia" w:ascii="宋体" w:hAnsi="宋体"/>
          <w:sz w:val="28"/>
          <w:szCs w:val="28"/>
        </w:rPr>
        <w:t>二、课题研究的简单过程</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第一阶段（2017年9月——2018年6月）课题研究的准备阶段。</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组织课题组成员进行理论学习，初步明确课题的理论支撑点，收集相关文献资料、开展问卷调查，通过对相关信息的整理、分析与比较，了解国内外课堂教学模式研究现状，发展趋势，为本课题研究提供参考依据；确定课题研究方案、目标和实施步骤及课题组成员的具体分工，完成开题报告。</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第二阶段（2018年9月——2020年8月）课题研究的实施阶段。</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课题组成员在课堂教学实践中进行实验和尝试，按方案精心组织实施课堂教学，注意观察课堂学生学习行为的变化，观察教学效果，不断改进课堂结构、方法，不断反思自己的课堂教学，研究适合我校课堂的有效教学模式；及时组织课题研究交流、研讨，在此基础上形成观点、理论，撰写论文；及时总结，按时完成阶段性研究报告。</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第三阶段（2020年9月——2020年11月）成果鉴定，验收阶段。</w:t>
      </w:r>
    </w:p>
    <w:p>
      <w:pPr>
        <w:snapToGrid w:val="0"/>
        <w:spacing w:line="312" w:lineRule="auto"/>
        <w:ind w:firstLine="560" w:firstLineChars="200"/>
        <w:rPr>
          <w:rFonts w:hint="eastAsia" w:asciiTheme="minorEastAsia" w:hAnsiTheme="minorEastAsia" w:eastAsiaTheme="minorEastAsia"/>
          <w:b/>
          <w:sz w:val="24"/>
        </w:rPr>
      </w:pPr>
      <w:r>
        <w:rPr>
          <w:rFonts w:hint="eastAsia" w:ascii="宋体" w:hAnsi="宋体" w:eastAsia="宋体" w:cs="宋体"/>
          <w:i w:val="0"/>
          <w:caps w:val="0"/>
          <w:color w:val="444444"/>
          <w:spacing w:val="0"/>
          <w:kern w:val="0"/>
          <w:sz w:val="28"/>
          <w:szCs w:val="28"/>
          <w:shd w:val="clear" w:fill="FFFFFF"/>
          <w:lang w:val="en-US" w:eastAsia="zh-CN" w:bidi="ar-SA"/>
        </w:rPr>
        <w:t>对研究得到的信息、数据进行分析，根据分析结果构建有效课堂教学模式；做好资料整理工作，汇编优秀案例、优秀论文，收集获奖证书、课堂实录等；完成课题研究报告，申请课题结题。</w:t>
      </w:r>
    </w:p>
    <w:p>
      <w:pPr>
        <w:ind w:firstLine="537" w:firstLineChars="192"/>
        <w:rPr>
          <w:rFonts w:hint="eastAsia" w:ascii="宋体" w:hAnsi="宋体"/>
          <w:sz w:val="28"/>
          <w:szCs w:val="28"/>
        </w:rPr>
      </w:pPr>
      <w:r>
        <w:rPr>
          <w:rFonts w:hint="eastAsia" w:ascii="宋体" w:hAnsi="宋体"/>
          <w:sz w:val="28"/>
          <w:szCs w:val="28"/>
        </w:rPr>
        <w:t>三、课题取得的主要成果</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1、基于数字校园环境下教学手段的研究，促进了学校特色发展，初步出现了学校教育教学的更新境界的变革。通过实践探索、理论研究和交流学习，初步形成了一系列有效应用数字化教学手段的对策和策略。</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①在数字校园环境下教学手段上出现了学生的学习方式发生了变化。例如：利用电子白板技术创设生动、逼真的问题情境，利用数字化新技术轻松突破教学难点，引导学生进入自主探究学习过程。</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②在数字化教学手段的应用上，教师的教学手段发生了变化。从原有的一根粉笔走天下的单一的教学旧模式，转为教师教学方式的多元化体系。</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③在数字化教学手段的应用上，教师的教研方式发生了变化。充分利用学校数字化平台，展开关于该课题的教学手段的研讨，促进教师的教研方式发生了变化；展开各学科教学资源的共享，为教师提供学习交流、阅读图书的网络空间、学习互动教研的平台。</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④在数字化教学手段的应用上，师生的互动方式发生了变化。师生的交流互动更倾向于</w:t>
      </w:r>
      <w:r>
        <w:rPr>
          <w:rFonts w:hint="default" w:ascii="宋体" w:hAnsi="宋体" w:eastAsia="宋体" w:cs="宋体"/>
          <w:i w:val="0"/>
          <w:caps w:val="0"/>
          <w:color w:val="444444"/>
          <w:spacing w:val="0"/>
          <w:kern w:val="0"/>
          <w:sz w:val="28"/>
          <w:szCs w:val="28"/>
          <w:shd w:val="clear" w:fill="FFFFFF"/>
          <w:lang w:val="en-US" w:eastAsia="zh-CN" w:bidi="ar-SA"/>
        </w:rPr>
        <w:t> “</w:t>
      </w:r>
      <w:r>
        <w:rPr>
          <w:rFonts w:hint="eastAsia" w:ascii="宋体" w:hAnsi="宋体" w:eastAsia="宋体" w:cs="宋体"/>
          <w:i w:val="0"/>
          <w:caps w:val="0"/>
          <w:color w:val="444444"/>
          <w:spacing w:val="0"/>
          <w:kern w:val="0"/>
          <w:sz w:val="28"/>
          <w:szCs w:val="28"/>
          <w:shd w:val="clear" w:fill="FFFFFF"/>
          <w:lang w:val="en-US" w:eastAsia="zh-CN" w:bidi="ar-SA"/>
        </w:rPr>
        <w:t>人人通</w:t>
      </w:r>
      <w:r>
        <w:rPr>
          <w:rFonts w:hint="default" w:ascii="宋体" w:hAnsi="宋体" w:eastAsia="宋体" w:cs="宋体"/>
          <w:i w:val="0"/>
          <w:caps w:val="0"/>
          <w:color w:val="444444"/>
          <w:spacing w:val="0"/>
          <w:kern w:val="0"/>
          <w:sz w:val="28"/>
          <w:szCs w:val="28"/>
          <w:shd w:val="clear" w:fill="FFFFFF"/>
          <w:lang w:val="en-US" w:eastAsia="zh-CN" w:bidi="ar-SA"/>
        </w:rPr>
        <w:t>”</w:t>
      </w:r>
      <w:r>
        <w:rPr>
          <w:rFonts w:hint="eastAsia" w:ascii="宋体" w:hAnsi="宋体" w:eastAsia="宋体" w:cs="宋体"/>
          <w:i w:val="0"/>
          <w:caps w:val="0"/>
          <w:color w:val="444444"/>
          <w:spacing w:val="0"/>
          <w:kern w:val="0"/>
          <w:sz w:val="28"/>
          <w:szCs w:val="28"/>
          <w:shd w:val="clear" w:fill="FFFFFF"/>
          <w:lang w:val="en-US" w:eastAsia="zh-CN" w:bidi="ar-SA"/>
        </w:rPr>
        <w:t>线上交流互动，空间中的教师教学设计、教学反思的师生跟帖互动探讨，电子白板等先进教学平台师生课堂的教学互动方式变革，促进数字化教学平台的有效运用。</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⑤在数字化教学手段的应用上，校际之间的交流与合作发生了变化。芦台二中与天津四中结对学校，构建互享网络数字资源网，便于结对学校的资源共享，大家还研讨了队伍建设的主要措施与途径，在数字化教学手段应用上，校际之间展开交流与合作。</w:t>
      </w:r>
      <w:r>
        <w:rPr>
          <w:rFonts w:hint="default" w:ascii="宋体" w:hAnsi="宋体" w:eastAsia="宋体" w:cs="宋体"/>
          <w:i w:val="0"/>
          <w:caps w:val="0"/>
          <w:color w:val="444444"/>
          <w:spacing w:val="0"/>
          <w:kern w:val="0"/>
          <w:sz w:val="28"/>
          <w:szCs w:val="28"/>
          <w:shd w:val="clear" w:fill="FFFFFF"/>
          <w:lang w:val="en-US" w:eastAsia="zh-CN" w:bidi="ar-SA"/>
        </w:rPr>
        <w:t> </w:t>
      </w:r>
    </w:p>
    <w:p>
      <w:pPr>
        <w:spacing w:line="312" w:lineRule="auto"/>
        <w:ind w:firstLine="560" w:firstLineChars="200"/>
        <w:rPr>
          <w:rFonts w:hint="eastAsia" w:ascii="微软雅黑" w:hAnsi="微软雅黑" w:eastAsia="微软雅黑" w:cs="微软雅黑"/>
          <w:i w:val="0"/>
          <w:caps w:val="0"/>
          <w:color w:val="444444"/>
          <w:spacing w:val="0"/>
          <w:sz w:val="22"/>
          <w:szCs w:val="22"/>
          <w:shd w:val="clear" w:fill="FFFFFF"/>
        </w:rPr>
      </w:pPr>
      <w:r>
        <w:rPr>
          <w:rFonts w:hint="eastAsia" w:ascii="宋体" w:hAnsi="宋体" w:eastAsia="宋体" w:cs="宋体"/>
          <w:i w:val="0"/>
          <w:caps w:val="0"/>
          <w:color w:val="444444"/>
          <w:spacing w:val="0"/>
          <w:kern w:val="0"/>
          <w:sz w:val="28"/>
          <w:szCs w:val="28"/>
          <w:shd w:val="clear" w:fill="FFFFFF"/>
          <w:lang w:val="en-US" w:eastAsia="zh-CN" w:bidi="ar-SA"/>
        </w:rPr>
        <w:t>我校的大部分教师，形成了努力学习和巧妙运用校园数字化平台的有效应用研究的教学热潮，涌现出一批有效教学手段的积极分子，在教育教学中起到了很好的引领示范作用。老师们的课堂观察分析深入、准确，既有表象的描述又有理论的支撑，还有对课堂中出现的问题亮出的鲜明观点，对于数字化校园环境下教师利用数字化平台进行有效教学应用提出了精辟的见解和可行的建议。</w:t>
      </w:r>
    </w:p>
    <w:p>
      <w:pPr>
        <w:numPr>
          <w:numId w:val="0"/>
        </w:numPr>
        <w:ind w:firstLine="420" w:firstLineChars="0"/>
        <w:rPr>
          <w:rFonts w:hint="eastAsia" w:ascii="宋体" w:hAnsi="宋体"/>
          <w:sz w:val="28"/>
          <w:szCs w:val="28"/>
        </w:rPr>
      </w:pPr>
      <w:r>
        <w:rPr>
          <w:rFonts w:hint="eastAsia" w:ascii="宋体" w:hAnsi="宋体"/>
          <w:sz w:val="28"/>
          <w:szCs w:val="28"/>
        </w:rPr>
        <w:t>四、为确保课题研究的有效、规范进行，我校成立了课题领导小组及课题研究小组。</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领导小组组长：张忠锋</w:t>
      </w:r>
    </w:p>
    <w:p>
      <w:pPr>
        <w:spacing w:line="312" w:lineRule="auto"/>
        <w:ind w:firstLine="560" w:firstLineChars="200"/>
        <w:rPr>
          <w:rFonts w:hint="default"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领导小组成员：王海燕、蔺学功、韩振伟、靳加山</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研究小组组长：张家和</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研究小组成员：李华、冯学媛、王会霞、李汝明、刘苗苗、李晓会、高霆、马志红、李想</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研究小组成员分工：</w:t>
      </w:r>
    </w:p>
    <w:tbl>
      <w:tblPr>
        <w:tblStyle w:val="5"/>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32"/>
        <w:gridCol w:w="12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马志红</w:t>
            </w:r>
          </w:p>
        </w:tc>
        <w:tc>
          <w:tcPr>
            <w:tcW w:w="2732"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中高</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理论指导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张帅帅</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中高</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制定研究原则、方法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李华</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hint="eastAsia" w:asciiTheme="majorEastAsia" w:hAnsiTheme="majorEastAsia" w:eastAsiaTheme="majorEastAsia"/>
                <w:position w:val="6"/>
                <w:sz w:val="24"/>
                <w:u w:val="single"/>
                <w:lang w:val="en-US" w:eastAsia="zh-CN"/>
              </w:rPr>
            </w:pPr>
            <w:r>
              <w:rPr>
                <w:rFonts w:hint="eastAsia" w:asciiTheme="majorEastAsia" w:hAnsiTheme="majorEastAsia" w:eastAsiaTheme="majorEastAsia"/>
                <w:position w:val="6"/>
                <w:sz w:val="24"/>
              </w:rPr>
              <w:t>中</w:t>
            </w:r>
            <w:r>
              <w:rPr>
                <w:rFonts w:hint="eastAsia" w:asciiTheme="majorEastAsia" w:hAnsiTheme="majorEastAsia" w:eastAsiaTheme="majorEastAsia"/>
                <w:position w:val="6"/>
                <w:sz w:val="24"/>
                <w:lang w:val="en-US" w:eastAsia="zh-CN"/>
              </w:rPr>
              <w:t>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教学模型研究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冯学媛</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课题实验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王会霞</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问卷调查分析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李汝明</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阶段性分析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刘苗苗</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中高</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阶段性成果总结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李晓会</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课题实验</w:t>
            </w:r>
          </w:p>
          <w:p>
            <w:pPr>
              <w:ind w:firstLine="460" w:firstLineChars="192"/>
              <w:jc w:val="center"/>
              <w:rPr>
                <w:rFonts w:hint="eastAsia" w:asciiTheme="majorEastAsia" w:hAnsiTheme="majorEastAsia" w:eastAsiaTheme="majorEastAsia"/>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高霆</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中一</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课题实验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1620" w:type="dxa"/>
            <w:vAlign w:val="center"/>
          </w:tcPr>
          <w:p>
            <w:pPr>
              <w:ind w:firstLine="240" w:firstLineChars="100"/>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李想</w:t>
            </w:r>
          </w:p>
        </w:tc>
        <w:tc>
          <w:tcPr>
            <w:tcW w:w="2732" w:type="dxa"/>
            <w:vAlign w:val="center"/>
          </w:tcPr>
          <w:p>
            <w:pPr>
              <w:ind w:firstLine="240" w:firstLineChars="100"/>
              <w:jc w:val="center"/>
              <w:rPr>
                <w:rFonts w:asciiTheme="majorEastAsia" w:hAnsiTheme="majorEastAsia" w:eastAsiaTheme="majorEastAsia"/>
                <w:position w:val="6"/>
                <w:sz w:val="24"/>
                <w:u w:val="single"/>
              </w:rPr>
            </w:pPr>
            <w:r>
              <w:rPr>
                <w:rFonts w:hint="eastAsia" w:asciiTheme="majorEastAsia" w:hAnsiTheme="majorEastAsia" w:eastAsiaTheme="majorEastAsia"/>
                <w:position w:val="6"/>
                <w:sz w:val="24"/>
              </w:rPr>
              <w:t>宁河区芦台第二中学</w:t>
            </w:r>
          </w:p>
        </w:tc>
        <w:tc>
          <w:tcPr>
            <w:tcW w:w="1260" w:type="dxa"/>
            <w:vAlign w:val="center"/>
          </w:tcPr>
          <w:p>
            <w:pPr>
              <w:ind w:firstLine="460" w:firstLineChars="192"/>
              <w:jc w:val="center"/>
              <w:rPr>
                <w:rFonts w:hint="eastAsia" w:asciiTheme="majorEastAsia" w:hAnsiTheme="majorEastAsia" w:eastAsiaTheme="majorEastAsia"/>
                <w:position w:val="6"/>
                <w:sz w:val="24"/>
                <w:u w:val="single"/>
                <w:lang w:val="en-US" w:eastAsia="zh-CN"/>
              </w:rPr>
            </w:pPr>
            <w:r>
              <w:rPr>
                <w:rFonts w:hint="eastAsia" w:asciiTheme="majorEastAsia" w:hAnsiTheme="majorEastAsia" w:eastAsiaTheme="majorEastAsia"/>
                <w:position w:val="6"/>
                <w:sz w:val="24"/>
              </w:rPr>
              <w:t>中</w:t>
            </w:r>
            <w:r>
              <w:rPr>
                <w:rFonts w:hint="eastAsia" w:asciiTheme="majorEastAsia" w:hAnsiTheme="majorEastAsia" w:eastAsiaTheme="majorEastAsia"/>
                <w:position w:val="6"/>
                <w:sz w:val="24"/>
                <w:lang w:val="en-US" w:eastAsia="zh-CN"/>
              </w:rPr>
              <w:t>二</w:t>
            </w:r>
          </w:p>
        </w:tc>
        <w:tc>
          <w:tcPr>
            <w:tcW w:w="2880" w:type="dxa"/>
            <w:vAlign w:val="center"/>
          </w:tcPr>
          <w:p>
            <w:pPr>
              <w:ind w:firstLine="460" w:firstLineChars="192"/>
              <w:jc w:val="center"/>
              <w:rPr>
                <w:rFonts w:hint="eastAsia" w:asciiTheme="majorEastAsia" w:hAnsiTheme="majorEastAsia" w:eastAsiaTheme="majorEastAsia"/>
                <w:position w:val="6"/>
                <w:sz w:val="24"/>
              </w:rPr>
            </w:pPr>
            <w:r>
              <w:rPr>
                <w:rFonts w:hint="eastAsia" w:asciiTheme="majorEastAsia" w:hAnsiTheme="majorEastAsia" w:eastAsiaTheme="majorEastAsia"/>
                <w:position w:val="6"/>
                <w:sz w:val="24"/>
              </w:rPr>
              <w:t>收集、整理材料</w:t>
            </w:r>
          </w:p>
        </w:tc>
      </w:tr>
    </w:tbl>
    <w:p>
      <w:pPr>
        <w:ind w:firstLine="540" w:firstLineChars="192"/>
        <w:rPr>
          <w:rFonts w:hint="eastAsia" w:ascii="宋体" w:hAnsi="宋体" w:cs="Tahoma"/>
          <w:b/>
          <w:bCs/>
          <w:color w:val="000000"/>
          <w:kern w:val="0"/>
          <w:sz w:val="28"/>
          <w:szCs w:val="28"/>
        </w:rPr>
      </w:pPr>
      <w:r>
        <w:rPr>
          <w:rFonts w:hint="eastAsia" w:ascii="宋体" w:hAnsi="宋体" w:cs="Tahoma"/>
          <w:b/>
          <w:bCs/>
          <w:color w:val="000000"/>
          <w:kern w:val="0"/>
          <w:sz w:val="28"/>
          <w:szCs w:val="28"/>
        </w:rPr>
        <w:t>五、</w:t>
      </w:r>
      <w:r>
        <w:rPr>
          <w:rFonts w:ascii="宋体" w:hAnsi="宋体" w:cs="Tahoma"/>
          <w:b/>
          <w:bCs/>
          <w:color w:val="000000"/>
          <w:kern w:val="0"/>
          <w:sz w:val="28"/>
          <w:szCs w:val="28"/>
        </w:rPr>
        <w:t>完成课题的条件保障</w:t>
      </w:r>
    </w:p>
    <w:p>
      <w:pPr>
        <w:ind w:firstLine="537" w:firstLineChars="192"/>
        <w:rPr>
          <w:rFonts w:hint="eastAsia" w:ascii="宋体" w:hAnsi="宋体"/>
          <w:sz w:val="28"/>
          <w:szCs w:val="28"/>
        </w:rPr>
      </w:pPr>
      <w:r>
        <w:rPr>
          <w:rFonts w:hint="eastAsia" w:ascii="宋体" w:hAnsi="宋体"/>
          <w:sz w:val="28"/>
          <w:szCs w:val="28"/>
        </w:rPr>
        <w:t>（1）</w:t>
      </w:r>
      <w:r>
        <w:rPr>
          <w:rFonts w:ascii="宋体" w:hAnsi="宋体"/>
          <w:sz w:val="28"/>
          <w:szCs w:val="28"/>
        </w:rPr>
        <w:t>人力保障：</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本课题由</w:t>
      </w:r>
      <w:r>
        <w:rPr>
          <w:rFonts w:hint="eastAsia" w:ascii="宋体" w:hAnsi="宋体" w:cs="宋体"/>
          <w:i w:val="0"/>
          <w:caps w:val="0"/>
          <w:color w:val="444444"/>
          <w:spacing w:val="0"/>
          <w:kern w:val="0"/>
          <w:sz w:val="28"/>
          <w:szCs w:val="28"/>
          <w:shd w:val="clear" w:fill="FFFFFF"/>
          <w:lang w:val="en-US" w:eastAsia="zh-CN" w:bidi="ar-SA"/>
        </w:rPr>
        <w:t>区</w:t>
      </w:r>
      <w:bookmarkStart w:id="0" w:name="_GoBack"/>
      <w:bookmarkEnd w:id="0"/>
      <w:r>
        <w:rPr>
          <w:rFonts w:hint="eastAsia" w:ascii="宋体" w:hAnsi="宋体" w:eastAsia="宋体" w:cs="宋体"/>
          <w:i w:val="0"/>
          <w:caps w:val="0"/>
          <w:color w:val="444444"/>
          <w:spacing w:val="0"/>
          <w:kern w:val="0"/>
          <w:sz w:val="28"/>
          <w:szCs w:val="28"/>
          <w:shd w:val="clear" w:fill="FFFFFF"/>
          <w:lang w:val="en-US" w:eastAsia="zh-CN" w:bidi="ar-SA"/>
        </w:rPr>
        <w:t>兼职教研员、校信息教研组组长张家和全面负责。中学一级教师，现任我校办公室主任兼信息中心工作，从教21年，一直奋战在教学一线，并兼学校网络、多媒体、数字广播、监控等信息化设备的管理与维护工作。曾多次参加信息技术创新与实践活动大赛并获得奖项，在课堂教学和科研能力方面，具有一定的实力。参与的天津市教育科学学会“十二五”科研规划课题《高中学生高质作业的研究》于2015年12月结题。参与的《天津市基础教育“十二五”》教育科研规划课题《发挥“学困生”个性特征的研究》于2016年3月10日结题。其他课题成员有极高的参加教育科研的积极性，同时也有较高的理论水平，有的曾主持或协助学校其他课题的研究，在课堂上他们善于创新，不断探索，在市区优质课评选中获一、二等奖。</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该课题组的所有成员均为一线骨干教师，有长期从事基础教育理论及教育实践研究的丰富经验，课题组负责人及成员有深厚的教育理论积淀并注意吸收最新教育研究信息，多次承担教育类课题研究，并有课题、论文等成果产生，其中县级课题3个，校级课题2个，市、县级获奖论文37篇。加之我们长期工作在基础教育第一线，对目前中小学教育发展中存在的问题有深切的感受，能够捕捉到目前我国基础教育领域亟待研究和解决的问题，因此我们有足够的能力完成本课题的研究。我们还与校内外教师一起开展合作研究，力争形成优势互补的理论工作者和实践工作者相结合的研究队伍，充分发挥各自的理论优势和实践专长，以提高课题研究的理论水准和实践效力。</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 xml:space="preserve">（2）组织保障：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 xml:space="preserve"> 课题组将根据课题研究的需要，通过校领导的大力支持，将各学科组组织起来，建立相互合作的研究组织，以调动全校教职员工参与课题研究的积极性，主动性和创造性，形成群体研究的氛围，从而保证课题研究的落实与实施。</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（3）物力保障：</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学校将为课题的开展提供必要的设备设施、教育环境、资料信息、实验研究对象等。</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（4）财力保障：</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学校为课题组筹措部分专项资金，课题组每年还将根据课题研究的需要自行筹集一定的经费，包括课题研究、讲学、设备、研究资料、教学资料、会议费等，并在校内为实验教师立项提供一定的经费资助。</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（5）时间保障：</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本课题从申报之日起，约需要三年的研究时间，预计于2020年结题。</w:t>
      </w:r>
    </w:p>
    <w:p>
      <w:pPr>
        <w:ind w:firstLine="540" w:firstLineChars="192"/>
        <w:rPr>
          <w:rFonts w:hint="eastAsia" w:ascii="宋体" w:hAnsi="宋体" w:cs="Tahoma"/>
          <w:b/>
          <w:bCs/>
          <w:color w:val="000000"/>
          <w:kern w:val="0"/>
          <w:sz w:val="28"/>
          <w:szCs w:val="28"/>
        </w:rPr>
      </w:pPr>
      <w:r>
        <w:rPr>
          <w:rFonts w:hint="eastAsia" w:ascii="宋体" w:hAnsi="宋体" w:cs="Tahoma"/>
          <w:b/>
          <w:bCs/>
          <w:color w:val="000000"/>
          <w:kern w:val="0"/>
          <w:sz w:val="28"/>
          <w:szCs w:val="28"/>
        </w:rPr>
        <w:t>六、研究的下一步想法</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1、继续加强全体教师的理论学习，加大数字化校园环境下教师利用数字化平台进行有效教学手段的应用培训工作，继续发挥名师引领作用，引导课题组成员认真高效的进行教学手段研究。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2、邀请知名专家进行课题研究方面的理论讲座，增强课题组成员的研究意识，对该课题研究的重点给予指点迷津。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3、阶段性的做好多方面调查工作，准确掌握来自于学生方面的对于数字化校园环境下的需求和教师对于数字化校园环境下教师利用多样化教学手段的困惑，让课题研究更趋于规范化，科学化，理想化。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4、继续促进校际交流，积极参加学术讨论会，积极参与市、区级科研课题培训，向先进的兄弟学校学习取经。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5、依照阶段性上报的实施方案，结合课题研究情况，编制课题研究进程表。填好课题活动纪实和培训纪实，做好课题组每个成员对本阶段工作的自我评价和整体评价工作。 </w:t>
      </w:r>
    </w:p>
    <w:p>
      <w:pPr>
        <w:spacing w:line="312" w:lineRule="auto"/>
        <w:ind w:firstLine="560" w:firstLineChars="200"/>
        <w:rPr>
          <w:rFonts w:hint="eastAsia" w:ascii="宋体" w:hAnsi="宋体" w:eastAsia="宋体" w:cs="宋体"/>
          <w:i w:val="0"/>
          <w:caps w:val="0"/>
          <w:color w:val="444444"/>
          <w:spacing w:val="0"/>
          <w:kern w:val="0"/>
          <w:sz w:val="28"/>
          <w:szCs w:val="28"/>
          <w:shd w:val="clear" w:fill="FFFFFF"/>
          <w:lang w:val="en-US" w:eastAsia="zh-CN" w:bidi="ar-SA"/>
        </w:rPr>
      </w:pPr>
      <w:r>
        <w:rPr>
          <w:rFonts w:hint="eastAsia" w:ascii="宋体" w:hAnsi="宋体" w:eastAsia="宋体" w:cs="宋体"/>
          <w:i w:val="0"/>
          <w:caps w:val="0"/>
          <w:color w:val="444444"/>
          <w:spacing w:val="0"/>
          <w:kern w:val="0"/>
          <w:sz w:val="28"/>
          <w:szCs w:val="28"/>
          <w:shd w:val="clear" w:fill="FFFFFF"/>
          <w:lang w:val="en-US" w:eastAsia="zh-CN" w:bidi="ar-SA"/>
        </w:rPr>
        <w:t>6、收集资料，系统整理并研究国内外与本课题相近课题开展情况。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59C3"/>
    <w:rsid w:val="00071D1D"/>
    <w:rsid w:val="002349B2"/>
    <w:rsid w:val="00265023"/>
    <w:rsid w:val="0027024A"/>
    <w:rsid w:val="0030577B"/>
    <w:rsid w:val="003559C3"/>
    <w:rsid w:val="004304D4"/>
    <w:rsid w:val="00475155"/>
    <w:rsid w:val="004B4B3B"/>
    <w:rsid w:val="004F45E3"/>
    <w:rsid w:val="00514131"/>
    <w:rsid w:val="005B34DD"/>
    <w:rsid w:val="0076292C"/>
    <w:rsid w:val="007716FD"/>
    <w:rsid w:val="008118D9"/>
    <w:rsid w:val="00851A06"/>
    <w:rsid w:val="008770AA"/>
    <w:rsid w:val="008A2F88"/>
    <w:rsid w:val="008C52AE"/>
    <w:rsid w:val="00937728"/>
    <w:rsid w:val="009432F2"/>
    <w:rsid w:val="00944CD3"/>
    <w:rsid w:val="00A12E2E"/>
    <w:rsid w:val="00CC345D"/>
    <w:rsid w:val="00D04068"/>
    <w:rsid w:val="00DB4CEE"/>
    <w:rsid w:val="00EB55B8"/>
    <w:rsid w:val="36FD7B0B"/>
    <w:rsid w:val="3C737726"/>
    <w:rsid w:val="4B052EED"/>
    <w:rsid w:val="4B62247A"/>
    <w:rsid w:val="4C72603F"/>
    <w:rsid w:val="6B0759CB"/>
    <w:rsid w:val="7DEB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2574</Words>
  <Characters>2652</Characters>
  <Lines>94</Lines>
  <Paragraphs>69</Paragraphs>
  <TotalTime>0</TotalTime>
  <ScaleCrop>false</ScaleCrop>
  <LinksUpToDate>false</LinksUpToDate>
  <CharactersWithSpaces>5157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2020-11-13T03:28:00Z</dcterms:created>
  <dc:creator>User</dc:creator>
  <cp:lastModifiedBy>家和</cp:lastModifiedBy>
  <dcterms:modified xsi:type="dcterms:W3CDTF">2020-11-13T13:06:59Z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