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A5" w:rsidRDefault="005A69A5" w:rsidP="005A69A5">
      <w:pPr>
        <w:rPr>
          <w:rFonts w:asciiTheme="majorEastAsia" w:eastAsiaTheme="majorEastAsia" w:hAnsiTheme="majorEastAsia" w:hint="eastAsia"/>
          <w:sz w:val="36"/>
          <w:szCs w:val="36"/>
        </w:rPr>
      </w:pPr>
    </w:p>
    <w:p w:rsidR="005A69A5" w:rsidRDefault="00557AD8" w:rsidP="005A69A5">
      <w:pPr>
        <w:rPr>
          <w:rFonts w:asciiTheme="majorEastAsia" w:eastAsiaTheme="majorEastAsia" w:hAnsiTheme="majorEastAsia"/>
          <w:sz w:val="36"/>
          <w:szCs w:val="36"/>
        </w:rPr>
      </w:pPr>
      <w:r w:rsidRPr="00557AD8">
        <w:rPr>
          <w:rFonts w:asciiTheme="majorEastAsia" w:eastAsiaTheme="majorEastAsia" w:hAnsiTheme="majorEastAsia"/>
          <w:noProof/>
          <w:sz w:val="36"/>
          <w:szCs w:val="36"/>
        </w:rPr>
        <w:drawing>
          <wp:inline distT="0" distB="0" distL="0" distR="0">
            <wp:extent cx="6038850" cy="8051799"/>
            <wp:effectExtent l="0" t="0" r="0" b="6985"/>
            <wp:docPr id="2" name="图片 2" descr="C:\Users\lm\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7926" cy="8063900"/>
                    </a:xfrm>
                    <a:prstGeom prst="rect">
                      <a:avLst/>
                    </a:prstGeom>
                    <a:noFill/>
                    <a:ln>
                      <a:noFill/>
                    </a:ln>
                  </pic:spPr>
                </pic:pic>
              </a:graphicData>
            </a:graphic>
          </wp:inline>
        </w:drawing>
      </w:r>
    </w:p>
    <w:p w:rsidR="00C80EBC" w:rsidRDefault="00C80EBC" w:rsidP="00C80EBC">
      <w:pPr>
        <w:spacing w:line="480" w:lineRule="exact"/>
        <w:ind w:firstLineChars="300" w:firstLine="1080"/>
        <w:rPr>
          <w:rFonts w:ascii="宋体" w:eastAsia="宋体" w:hAnsi="宋体" w:cs="宋体"/>
          <w:color w:val="000000"/>
          <w:kern w:val="0"/>
          <w:sz w:val="36"/>
          <w:szCs w:val="36"/>
        </w:rPr>
      </w:pPr>
    </w:p>
    <w:p w:rsidR="00C80EBC" w:rsidRDefault="00C80EBC" w:rsidP="00C80EBC">
      <w:pPr>
        <w:spacing w:line="480" w:lineRule="exact"/>
        <w:ind w:firstLineChars="300" w:firstLine="1080"/>
        <w:rPr>
          <w:rFonts w:ascii="黑体" w:eastAsia="黑体" w:hAnsi="黑体" w:cs="黑体" w:hint="eastAsia"/>
          <w:b/>
          <w:sz w:val="32"/>
          <w:szCs w:val="32"/>
        </w:rPr>
      </w:pPr>
      <w:bookmarkStart w:id="0" w:name="_GoBack"/>
      <w:bookmarkEnd w:id="0"/>
      <w:r>
        <w:rPr>
          <w:rFonts w:ascii="宋体" w:eastAsia="宋体" w:hAnsi="宋体" w:cs="宋体" w:hint="eastAsia"/>
          <w:color w:val="000000"/>
          <w:kern w:val="0"/>
          <w:sz w:val="36"/>
          <w:szCs w:val="36"/>
        </w:rPr>
        <w:lastRenderedPageBreak/>
        <w:t>信息技术赋能化学教学，提升课堂效率</w:t>
      </w:r>
    </w:p>
    <w:p w:rsidR="00C80EBC" w:rsidRDefault="00C80EBC" w:rsidP="00C80EBC">
      <w:pPr>
        <w:spacing w:line="360" w:lineRule="auto"/>
        <w:rPr>
          <w:rFonts w:ascii="仿宋" w:eastAsia="仿宋" w:hAnsi="仿宋" w:cs="仿宋" w:hint="eastAsia"/>
          <w:kern w:val="0"/>
          <w:sz w:val="30"/>
          <w:szCs w:val="30"/>
        </w:rPr>
      </w:pPr>
      <w:r>
        <w:rPr>
          <w:rFonts w:ascii="仿宋" w:eastAsia="仿宋" w:hAnsi="仿宋" w:cs="仿宋" w:hint="eastAsia"/>
          <w:sz w:val="30"/>
          <w:szCs w:val="30"/>
        </w:rPr>
        <w:t>摘要：信息技术和</w:t>
      </w:r>
      <w:r>
        <w:rPr>
          <w:rFonts w:ascii="仿宋" w:eastAsia="仿宋" w:hAnsi="仿宋" w:cs="仿宋" w:hint="eastAsia"/>
          <w:color w:val="000000"/>
          <w:kern w:val="0"/>
          <w:sz w:val="30"/>
          <w:szCs w:val="30"/>
        </w:rPr>
        <w:t>教学资源的开发利用是新一轮国家基础教育课程改革强调的一个重要概念，新课改的实施离不开信息技术和新的教学资源的支持。教师应因地制宜地整合各种信息技术和化学教学资源，在立德树人的基础上，提升课堂教学效率。教师在新课程实施中应明确我们要培养什么样的人，改变只把教材作为唯一的教学资源的倾向，树立社会主义核心价值观，是教育与时代接轨。</w:t>
      </w:r>
      <w:r>
        <w:rPr>
          <w:rFonts w:ascii="仿宋" w:eastAsia="仿宋" w:hAnsi="仿宋" w:cs="仿宋" w:hint="eastAsia"/>
          <w:kern w:val="0"/>
          <w:sz w:val="30"/>
          <w:szCs w:val="30"/>
        </w:rPr>
        <w:t>本文试就中学化学教学资源开发与利用中存在的问题做以分析，并提出实施对策。</w:t>
      </w:r>
    </w:p>
    <w:p w:rsidR="00C80EBC" w:rsidRDefault="00C80EBC" w:rsidP="00C80EBC">
      <w:pPr>
        <w:spacing w:line="360" w:lineRule="auto"/>
        <w:rPr>
          <w:rFonts w:ascii="仿宋" w:eastAsia="仿宋" w:hAnsi="仿宋" w:cs="仿宋" w:hint="eastAsia"/>
          <w:sz w:val="30"/>
          <w:szCs w:val="30"/>
        </w:rPr>
      </w:pPr>
      <w:r>
        <w:rPr>
          <w:rFonts w:ascii="仿宋" w:eastAsia="仿宋" w:hAnsi="仿宋" w:cs="仿宋" w:hint="eastAsia"/>
          <w:sz w:val="30"/>
          <w:szCs w:val="30"/>
        </w:rPr>
        <w:t>关键词：信息技术；教学资源；实施策略；课堂效率</w:t>
      </w:r>
    </w:p>
    <w:p w:rsidR="00C80EBC" w:rsidRDefault="00C80EBC" w:rsidP="00C80EBC">
      <w:pPr>
        <w:spacing w:line="360" w:lineRule="auto"/>
        <w:rPr>
          <w:rFonts w:ascii="仿宋" w:eastAsia="仿宋" w:hAnsi="仿宋" w:cs="仿宋" w:hint="eastAsia"/>
          <w:sz w:val="30"/>
          <w:szCs w:val="30"/>
        </w:rPr>
      </w:pPr>
      <w:r>
        <w:rPr>
          <w:rFonts w:ascii="仿宋" w:eastAsia="仿宋" w:hAnsi="仿宋" w:cs="仿宋" w:hint="eastAsia"/>
          <w:sz w:val="30"/>
          <w:szCs w:val="30"/>
        </w:rPr>
        <w:t>正文：</w:t>
      </w:r>
    </w:p>
    <w:p w:rsidR="00C80EBC" w:rsidRDefault="00C80EBC" w:rsidP="00C80EBC">
      <w:pPr>
        <w:spacing w:line="360" w:lineRule="auto"/>
        <w:ind w:firstLineChars="196" w:firstLine="588"/>
        <w:rPr>
          <w:rFonts w:ascii="仿宋" w:eastAsia="仿宋" w:hAnsi="仿宋" w:cs="仿宋" w:hint="eastAsia"/>
          <w:sz w:val="30"/>
          <w:szCs w:val="30"/>
        </w:rPr>
      </w:pPr>
      <w:r>
        <w:rPr>
          <w:rFonts w:ascii="仿宋" w:eastAsia="仿宋" w:hAnsi="仿宋" w:cs="仿宋" w:hint="eastAsia"/>
          <w:sz w:val="30"/>
          <w:szCs w:val="30"/>
        </w:rPr>
        <w:t>信息技术赋能课堂教学是目前课程设计与实施不可缺少的基本要素，是我国教育课程改革的一个总的思想。让更多的信息技术和教学资源对学生的起到更好的效果，对于教师创造性地实施高效的课堂教学都具有非常重要的意义。但我认为目前高中化学教学资源的开发与利用现状没有达到预期效果。</w:t>
      </w:r>
    </w:p>
    <w:p w:rsidR="00C80EBC" w:rsidRDefault="00C80EBC" w:rsidP="00C80EBC">
      <w:pPr>
        <w:numPr>
          <w:ilvl w:val="0"/>
          <w:numId w:val="1"/>
        </w:numPr>
        <w:spacing w:line="360" w:lineRule="auto"/>
        <w:ind w:firstLineChars="200" w:firstLine="600"/>
        <w:rPr>
          <w:rFonts w:ascii="仿宋" w:eastAsia="仿宋" w:hAnsi="仿宋" w:cs="仿宋" w:hint="eastAsia"/>
          <w:kern w:val="0"/>
          <w:sz w:val="30"/>
          <w:szCs w:val="30"/>
        </w:rPr>
      </w:pPr>
      <w:r>
        <w:rPr>
          <w:rFonts w:ascii="仿宋" w:eastAsia="仿宋" w:hAnsi="仿宋" w:cs="仿宋" w:hint="eastAsia"/>
          <w:kern w:val="0"/>
          <w:sz w:val="30"/>
          <w:szCs w:val="30"/>
        </w:rPr>
        <w:t>高中化学教学信息技术赋能教学现状</w:t>
      </w:r>
    </w:p>
    <w:p w:rsidR="00C80EBC" w:rsidRDefault="00C80EBC" w:rsidP="00C80EBC">
      <w:pPr>
        <w:spacing w:line="360" w:lineRule="auto"/>
        <w:ind w:firstLineChars="200" w:firstLine="600"/>
        <w:rPr>
          <w:rFonts w:ascii="仿宋" w:eastAsia="仿宋" w:hAnsi="仿宋" w:cs="仿宋" w:hint="eastAsia"/>
          <w:kern w:val="0"/>
          <w:sz w:val="30"/>
          <w:szCs w:val="30"/>
        </w:rPr>
      </w:pPr>
      <w:r>
        <w:rPr>
          <w:rFonts w:ascii="仿宋" w:eastAsia="仿宋" w:hAnsi="仿宋" w:cs="仿宋" w:hint="eastAsia"/>
          <w:kern w:val="0"/>
          <w:sz w:val="30"/>
          <w:szCs w:val="30"/>
        </w:rPr>
        <w:t>(一）化学教学资源和信息技术利用比较单一</w:t>
      </w:r>
    </w:p>
    <w:p w:rsidR="00C80EBC" w:rsidRDefault="00C80EBC" w:rsidP="00C80EBC">
      <w:pPr>
        <w:spacing w:line="360" w:lineRule="auto"/>
        <w:ind w:firstLine="570"/>
        <w:rPr>
          <w:rFonts w:ascii="仿宋" w:eastAsia="仿宋" w:hAnsi="仿宋" w:cs="仿宋" w:hint="eastAsia"/>
          <w:kern w:val="0"/>
          <w:sz w:val="30"/>
          <w:szCs w:val="30"/>
        </w:rPr>
      </w:pPr>
      <w:r>
        <w:rPr>
          <w:rFonts w:ascii="仿宋" w:eastAsia="仿宋" w:hAnsi="仿宋" w:cs="仿宋" w:hint="eastAsia"/>
          <w:kern w:val="0"/>
          <w:sz w:val="30"/>
          <w:szCs w:val="30"/>
        </w:rPr>
        <w:t>现在的化学课堂教学模式，特别是高中化学课的课堂教学，除了教材上一些的简单的教学资源和老师们做的课件外还有一些最简单的实验学生能简单操作外，基本上没有利用信息网络等资源去调动学生学习化学的积极性。一些稍有危险的实验老师基</w:t>
      </w:r>
      <w:r>
        <w:rPr>
          <w:rFonts w:ascii="仿宋" w:eastAsia="仿宋" w:hAnsi="仿宋" w:cs="仿宋" w:hint="eastAsia"/>
          <w:kern w:val="0"/>
          <w:sz w:val="30"/>
          <w:szCs w:val="30"/>
        </w:rPr>
        <w:lastRenderedPageBreak/>
        <w:t xml:space="preserve">本不做。但我们有理由相信，随着信息技术和教学资源及网络的飞速发展，这种现象将必定会改变，这是社会发展的必然。这些被忽视某些教学资源的开发与利用会大大提高课堂效率。是学生学习更多的和生活联系，更多的从兴趣出发。从教材与内容结构特点上看，会更加重视知识与生活学科与学科之间的相互联系。重视学科知识的新进展和生活实践及各学科知识之间的相互渗透与融合。 </w:t>
      </w:r>
    </w:p>
    <w:p w:rsidR="00C80EBC" w:rsidRDefault="00C80EBC" w:rsidP="00C80EBC">
      <w:pPr>
        <w:spacing w:line="360" w:lineRule="auto"/>
        <w:ind w:firstLineChars="200" w:firstLine="600"/>
        <w:rPr>
          <w:rFonts w:ascii="仿宋" w:eastAsia="仿宋" w:hAnsi="仿宋" w:cs="仿宋" w:hint="eastAsia"/>
          <w:kern w:val="0"/>
          <w:sz w:val="30"/>
          <w:szCs w:val="30"/>
        </w:rPr>
      </w:pPr>
      <w:r>
        <w:rPr>
          <w:rFonts w:ascii="仿宋" w:eastAsia="仿宋" w:hAnsi="仿宋" w:cs="仿宋" w:hint="eastAsia"/>
          <w:kern w:val="0"/>
          <w:sz w:val="30"/>
          <w:szCs w:val="30"/>
        </w:rPr>
        <w:t>（二）欠缺对信息技术资源意识和开发能力</w:t>
      </w:r>
    </w:p>
    <w:p w:rsidR="00C80EBC" w:rsidRDefault="00C80EBC" w:rsidP="00C80EBC">
      <w:pPr>
        <w:spacing w:line="360" w:lineRule="auto"/>
        <w:ind w:firstLine="570"/>
        <w:rPr>
          <w:rFonts w:ascii="仿宋" w:eastAsia="仿宋" w:hAnsi="仿宋" w:cs="仿宋" w:hint="eastAsia"/>
          <w:kern w:val="0"/>
          <w:sz w:val="30"/>
          <w:szCs w:val="30"/>
        </w:rPr>
      </w:pPr>
      <w:r>
        <w:rPr>
          <w:rFonts w:ascii="仿宋" w:eastAsia="仿宋" w:hAnsi="仿宋" w:cs="仿宋" w:hint="eastAsia"/>
          <w:kern w:val="0"/>
          <w:sz w:val="30"/>
          <w:szCs w:val="30"/>
        </w:rPr>
        <w:t>高考依然是社会最关注的问题，应试教育还是大问题。一直以来，学校教师贯彻执行规定的的课程计划，具备的课程意识和课程开发能力较弱。但现在，教师需要在职前培养和在职培训也很少接触到教学资源的概念，加强对信息技术和教学资源的识别、提高开发和运用能力。</w:t>
      </w:r>
    </w:p>
    <w:p w:rsidR="00C80EBC" w:rsidRDefault="00C80EBC" w:rsidP="00C80EBC">
      <w:pPr>
        <w:spacing w:line="360" w:lineRule="auto"/>
        <w:ind w:firstLineChars="200" w:firstLine="600"/>
        <w:rPr>
          <w:rFonts w:ascii="仿宋" w:eastAsia="仿宋" w:hAnsi="仿宋" w:cs="仿宋" w:hint="eastAsia"/>
          <w:kern w:val="0"/>
          <w:sz w:val="30"/>
          <w:szCs w:val="30"/>
        </w:rPr>
      </w:pPr>
      <w:r>
        <w:rPr>
          <w:rFonts w:ascii="仿宋" w:eastAsia="仿宋" w:hAnsi="仿宋" w:cs="仿宋" w:hint="eastAsia"/>
          <w:kern w:val="0"/>
          <w:sz w:val="30"/>
          <w:szCs w:val="30"/>
        </w:rPr>
        <w:t>（三）现有信息技术和课程资源没有真正的不利用</w:t>
      </w:r>
    </w:p>
    <w:p w:rsidR="00C80EBC" w:rsidRDefault="00C80EBC" w:rsidP="00C80EBC">
      <w:pPr>
        <w:spacing w:line="360" w:lineRule="auto"/>
        <w:ind w:firstLineChars="200" w:firstLine="600"/>
        <w:rPr>
          <w:rFonts w:ascii="仿宋" w:eastAsia="仿宋" w:hAnsi="仿宋" w:cs="仿宋" w:hint="eastAsia"/>
          <w:kern w:val="0"/>
          <w:sz w:val="30"/>
          <w:szCs w:val="30"/>
        </w:rPr>
      </w:pPr>
      <w:r>
        <w:rPr>
          <w:rFonts w:ascii="仿宋" w:eastAsia="仿宋" w:hAnsi="仿宋" w:cs="仿宋" w:hint="eastAsia"/>
          <w:kern w:val="0"/>
          <w:sz w:val="30"/>
          <w:szCs w:val="30"/>
        </w:rPr>
        <w:t>只有科技信息真正只有进入课堂，进入师生的教学活动，才能真正体现信息发展和教育资源的真正价值。但在实际教学中，大多数教师没能能很好地利用起来，没有让其进入课堂，这样便造成了资源的闲置与浪费，没有让其发挥真正的作用。比如，学校不重视实验室、视频录像、无线网络、图书馆等，利用率都很低。把信息技术和更多的资源应合理赋能到课堂的实际教学中，要求教师适应时代发展和科技进步，适应新的教学理念和教学方式方法。</w:t>
      </w:r>
    </w:p>
    <w:p w:rsidR="00C80EBC" w:rsidRDefault="00C80EBC" w:rsidP="00C80EBC">
      <w:pPr>
        <w:spacing w:line="360" w:lineRule="auto"/>
        <w:ind w:firstLine="570"/>
        <w:rPr>
          <w:rFonts w:ascii="仿宋" w:eastAsia="仿宋" w:hAnsi="仿宋" w:cs="仿宋" w:hint="eastAsia"/>
          <w:kern w:val="0"/>
          <w:sz w:val="30"/>
          <w:szCs w:val="30"/>
        </w:rPr>
      </w:pPr>
      <w:r>
        <w:rPr>
          <w:rFonts w:ascii="仿宋" w:eastAsia="仿宋" w:hAnsi="仿宋" w:cs="仿宋" w:hint="eastAsia"/>
          <w:kern w:val="0"/>
          <w:sz w:val="30"/>
          <w:szCs w:val="30"/>
        </w:rPr>
        <w:lastRenderedPageBreak/>
        <w:t>总的来说，我们要想</w:t>
      </w:r>
      <w:r>
        <w:rPr>
          <w:rFonts w:ascii="仿宋" w:eastAsia="仿宋" w:hAnsi="仿宋" w:cs="仿宋" w:hint="eastAsia"/>
          <w:color w:val="000000"/>
          <w:kern w:val="0"/>
          <w:sz w:val="30"/>
          <w:szCs w:val="30"/>
        </w:rPr>
        <w:t>实现课程新时代的教育目标，提高课堂教学效率。培养新时代的人才。教师在新课程实施中就应尽快确立起利用信息技术和教学资源赋能课堂教学意识，充分利用新时代的资源同时根据我们的条件开发利用一切对教学有利的资源，树立新的教学发展观，这样才能有效的提高课堂效率。</w:t>
      </w:r>
    </w:p>
    <w:p w:rsidR="00C80EBC" w:rsidRDefault="00C80EBC" w:rsidP="00C80EBC">
      <w:pPr>
        <w:spacing w:line="360" w:lineRule="auto"/>
        <w:ind w:firstLine="570"/>
        <w:rPr>
          <w:rFonts w:ascii="仿宋" w:eastAsia="仿宋" w:hAnsi="仿宋" w:cs="仿宋" w:hint="eastAsia"/>
          <w:kern w:val="0"/>
          <w:sz w:val="30"/>
          <w:szCs w:val="30"/>
        </w:rPr>
      </w:pPr>
      <w:r>
        <w:rPr>
          <w:rFonts w:ascii="仿宋" w:eastAsia="仿宋" w:hAnsi="仿宋" w:cs="仿宋" w:hint="eastAsia"/>
          <w:kern w:val="0"/>
          <w:sz w:val="30"/>
          <w:szCs w:val="30"/>
        </w:rPr>
        <w:t>二、多渠道开发利用信息技术和教学资源，提高课堂效率</w:t>
      </w:r>
    </w:p>
    <w:p w:rsidR="00C80EBC" w:rsidRDefault="00C80EBC" w:rsidP="00C80EBC">
      <w:pPr>
        <w:widowControl/>
        <w:spacing w:line="360" w:lineRule="auto"/>
        <w:ind w:firstLineChars="249" w:firstLine="747"/>
        <w:jc w:val="left"/>
        <w:rPr>
          <w:rFonts w:ascii="仿宋" w:eastAsia="仿宋" w:hAnsi="仿宋" w:cs="仿宋" w:hint="eastAsia"/>
          <w:kern w:val="0"/>
          <w:sz w:val="30"/>
          <w:szCs w:val="30"/>
        </w:rPr>
      </w:pPr>
      <w:r>
        <w:rPr>
          <w:rFonts w:ascii="仿宋" w:eastAsia="仿宋" w:hAnsi="仿宋" w:cs="仿宋" w:hint="eastAsia"/>
          <w:kern w:val="0"/>
          <w:sz w:val="30"/>
          <w:szCs w:val="30"/>
        </w:rPr>
        <w:t>(一）充分利用教材资源，丰富课堂内容</w:t>
      </w:r>
    </w:p>
    <w:p w:rsidR="00C80EBC" w:rsidRDefault="00C80EBC" w:rsidP="00C80EBC">
      <w:pPr>
        <w:widowControl/>
        <w:spacing w:line="360" w:lineRule="auto"/>
        <w:ind w:firstLineChars="222" w:firstLine="666"/>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教材深藏着丰富的教学资源，二次开发的新教材贯彻了以学生发展为本的理念，注重学生动手、动脑，亲身体验，在课后设置了活动探索、问题研究等，加强学生与校外教学资源的联系，开拓了学生视野，培养创新精神和实践能力。在化学教材中有很多图表，如果我们能够充分挖掘使用，除了可以提升学生的观察力，也利于培养学生对图表数据等信息的分析处理的能力，同时通过对数据的比较、分析、归纳、概括，也锻炼了学生分析问题、总结问题的能力。</w:t>
      </w:r>
    </w:p>
    <w:p w:rsidR="00C80EBC" w:rsidRDefault="00C80EBC" w:rsidP="00C80EBC">
      <w:pPr>
        <w:widowControl/>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例如人教版化学必修1第30页插图2-9“NaCl在水中的溶解和电离示意图”</w:t>
      </w:r>
    </w:p>
    <w:p w:rsidR="00C80EBC" w:rsidRDefault="00C80EBC" w:rsidP="00C80EBC">
      <w:pPr>
        <w:widowControl/>
        <w:spacing w:line="360" w:lineRule="auto"/>
        <w:ind w:firstLineChars="200" w:firstLine="600"/>
        <w:jc w:val="left"/>
        <w:rPr>
          <w:rFonts w:ascii="仿宋" w:eastAsia="仿宋" w:hAnsi="仿宋" w:cs="仿宋" w:hint="eastAsia"/>
          <w:color w:val="000000"/>
          <w:kern w:val="0"/>
          <w:sz w:val="30"/>
          <w:szCs w:val="30"/>
        </w:rPr>
      </w:pPr>
    </w:p>
    <w:p w:rsidR="00C80EBC" w:rsidRDefault="00C80EBC" w:rsidP="00C80EBC">
      <w:pPr>
        <w:widowControl/>
        <w:spacing w:line="360" w:lineRule="auto"/>
        <w:ind w:firstLineChars="222" w:firstLine="666"/>
        <w:jc w:val="left"/>
        <w:rPr>
          <w:rFonts w:ascii="仿宋" w:eastAsia="仿宋" w:hAnsi="仿宋" w:cs="仿宋" w:hint="eastAsia"/>
          <w:sz w:val="30"/>
          <w:szCs w:val="30"/>
        </w:rPr>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INCLUDEPICTURE "http://t1.baidu.com/it/u=2273873615,4275547703&amp;fm=15&amp;gp=0.jpg" \* MERGEFORMATINET </w:instrText>
      </w:r>
      <w:r>
        <w:rPr>
          <w:rFonts w:ascii="仿宋" w:eastAsia="仿宋" w:hAnsi="仿宋" w:cs="仿宋" w:hint="eastAsia"/>
          <w:sz w:val="30"/>
          <w:szCs w:val="30"/>
        </w:rPr>
        <w:fldChar w:fldCharType="separate"/>
      </w:r>
      <w:r>
        <w:rPr>
          <w:rFonts w:ascii="仿宋" w:eastAsia="仿宋" w:hAnsi="仿宋" w:cs="仿宋" w:hint="eastAsia"/>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315pt;height:130.5pt;mso-wrap-style:square;mso-position-horizontal-relative:page;mso-position-vertical-relative:page" o:button="t">
            <v:imagedata r:id="rId8" r:href="rId9"/>
          </v:shape>
        </w:pict>
      </w:r>
      <w:r>
        <w:rPr>
          <w:rFonts w:ascii="仿宋" w:eastAsia="仿宋" w:hAnsi="仿宋" w:cs="仿宋" w:hint="eastAsia"/>
          <w:sz w:val="30"/>
          <w:szCs w:val="30"/>
        </w:rPr>
        <w:fldChar w:fldCharType="end"/>
      </w:r>
    </w:p>
    <w:p w:rsidR="00C80EBC" w:rsidRDefault="00C80EBC" w:rsidP="00C80EBC">
      <w:pPr>
        <w:widowControl/>
        <w:spacing w:line="360" w:lineRule="auto"/>
        <w:ind w:firstLineChars="222" w:firstLine="666"/>
        <w:jc w:val="left"/>
        <w:rPr>
          <w:rFonts w:ascii="仿宋" w:eastAsia="仿宋" w:hAnsi="仿宋" w:cs="仿宋" w:hint="eastAsia"/>
          <w:color w:val="000000"/>
          <w:kern w:val="0"/>
          <w:sz w:val="30"/>
          <w:szCs w:val="30"/>
        </w:rPr>
      </w:pPr>
    </w:p>
    <w:p w:rsidR="00C80EBC" w:rsidRDefault="00C80EBC" w:rsidP="00C80EBC">
      <w:pPr>
        <w:widowControl/>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我们只是利用这几幅图来解释为什么NaCl溶于水后Na</w:t>
      </w:r>
      <w:r>
        <w:rPr>
          <w:rFonts w:ascii="仿宋" w:eastAsia="仿宋" w:hAnsi="仿宋" w:cs="仿宋" w:hint="eastAsia"/>
          <w:color w:val="000000"/>
          <w:kern w:val="0"/>
          <w:sz w:val="30"/>
          <w:szCs w:val="30"/>
          <w:vertAlign w:val="superscript"/>
        </w:rPr>
        <w:t>+</w:t>
      </w:r>
      <w:r>
        <w:rPr>
          <w:rFonts w:ascii="仿宋" w:eastAsia="仿宋" w:hAnsi="仿宋" w:cs="仿宋" w:hint="eastAsia"/>
          <w:color w:val="000000"/>
          <w:kern w:val="0"/>
          <w:sz w:val="30"/>
          <w:szCs w:val="30"/>
        </w:rPr>
        <w:t>和Cl</w:t>
      </w:r>
      <w:r>
        <w:rPr>
          <w:rFonts w:ascii="仿宋" w:eastAsia="仿宋" w:hAnsi="仿宋" w:cs="仿宋" w:hint="eastAsia"/>
          <w:color w:val="000000"/>
          <w:kern w:val="0"/>
          <w:sz w:val="30"/>
          <w:szCs w:val="30"/>
          <w:vertAlign w:val="superscript"/>
        </w:rPr>
        <w:t>-</w:t>
      </w:r>
      <w:r>
        <w:rPr>
          <w:rFonts w:ascii="仿宋" w:eastAsia="仿宋" w:hAnsi="仿宋" w:cs="仿宋" w:hint="eastAsia"/>
          <w:color w:val="000000"/>
          <w:kern w:val="0"/>
          <w:sz w:val="30"/>
          <w:szCs w:val="30"/>
        </w:rPr>
        <w:t>可以自由移动，却很少想到这幅图的额外功能。在必修1第三章讲到Na和CuSO</w:t>
      </w:r>
      <w:r>
        <w:rPr>
          <w:rFonts w:ascii="仿宋" w:eastAsia="仿宋" w:hAnsi="仿宋" w:cs="仿宋" w:hint="eastAsia"/>
          <w:color w:val="000000"/>
          <w:kern w:val="0"/>
          <w:sz w:val="30"/>
          <w:szCs w:val="30"/>
          <w:vertAlign w:val="subscript"/>
        </w:rPr>
        <w:t>4</w:t>
      </w:r>
      <w:r>
        <w:rPr>
          <w:rFonts w:ascii="仿宋" w:eastAsia="仿宋" w:hAnsi="仿宋" w:cs="仿宋" w:hint="eastAsia"/>
          <w:color w:val="000000"/>
          <w:kern w:val="0"/>
          <w:sz w:val="30"/>
          <w:szCs w:val="30"/>
        </w:rPr>
        <w:t>溶液的反应时，很多学生都有困惑，为什么Na投入到CuSO</w:t>
      </w:r>
      <w:r>
        <w:rPr>
          <w:rFonts w:ascii="仿宋" w:eastAsia="仿宋" w:hAnsi="仿宋" w:cs="仿宋" w:hint="eastAsia"/>
          <w:color w:val="000000"/>
          <w:kern w:val="0"/>
          <w:sz w:val="30"/>
          <w:szCs w:val="30"/>
          <w:vertAlign w:val="subscript"/>
        </w:rPr>
        <w:t>4</w:t>
      </w:r>
      <w:r>
        <w:rPr>
          <w:rFonts w:ascii="仿宋" w:eastAsia="仿宋" w:hAnsi="仿宋" w:cs="仿宋" w:hint="eastAsia"/>
          <w:color w:val="000000"/>
          <w:kern w:val="0"/>
          <w:sz w:val="30"/>
          <w:szCs w:val="30"/>
        </w:rPr>
        <w:t>溶液时Na是和水反应而不是和Cu</w:t>
      </w:r>
      <w:r>
        <w:rPr>
          <w:rFonts w:ascii="仿宋" w:eastAsia="仿宋" w:hAnsi="仿宋" w:cs="仿宋" w:hint="eastAsia"/>
          <w:color w:val="000000"/>
          <w:kern w:val="0"/>
          <w:sz w:val="30"/>
          <w:szCs w:val="30"/>
          <w:vertAlign w:val="superscript"/>
        </w:rPr>
        <w:t>2+</w:t>
      </w:r>
      <w:r>
        <w:rPr>
          <w:rFonts w:ascii="仿宋" w:eastAsia="仿宋" w:hAnsi="仿宋" w:cs="仿宋" w:hint="eastAsia"/>
          <w:color w:val="000000"/>
          <w:kern w:val="0"/>
          <w:sz w:val="30"/>
          <w:szCs w:val="30"/>
        </w:rPr>
        <w:t>反应，这个时候我们往往告诉学生记住结论，而学生却不能从根本上理解为什么，也没得到一个形象的解释。这时候如果我们能够想到这幅图的话，并适当的加入信息技术，我想问题就迎刃而解了。通过分析推理，学生自然就想到原来Cu</w:t>
      </w:r>
      <w:r>
        <w:rPr>
          <w:rFonts w:ascii="仿宋" w:eastAsia="仿宋" w:hAnsi="仿宋" w:cs="仿宋" w:hint="eastAsia"/>
          <w:color w:val="000000"/>
          <w:kern w:val="0"/>
          <w:sz w:val="30"/>
          <w:szCs w:val="30"/>
          <w:vertAlign w:val="superscript"/>
        </w:rPr>
        <w:t>2+</w:t>
      </w:r>
      <w:r>
        <w:rPr>
          <w:rFonts w:ascii="仿宋" w:eastAsia="仿宋" w:hAnsi="仿宋" w:cs="仿宋" w:hint="eastAsia"/>
          <w:color w:val="000000"/>
          <w:kern w:val="0"/>
          <w:sz w:val="30"/>
          <w:szCs w:val="30"/>
        </w:rPr>
        <w:t>的周围被水分子包围，因此尽管Cu</w:t>
      </w:r>
      <w:r>
        <w:rPr>
          <w:rFonts w:ascii="仿宋" w:eastAsia="仿宋" w:hAnsi="仿宋" w:cs="仿宋" w:hint="eastAsia"/>
          <w:color w:val="000000"/>
          <w:kern w:val="0"/>
          <w:sz w:val="30"/>
          <w:szCs w:val="30"/>
          <w:vertAlign w:val="superscript"/>
        </w:rPr>
        <w:t>2+</w:t>
      </w:r>
      <w:r>
        <w:rPr>
          <w:rFonts w:ascii="仿宋" w:eastAsia="仿宋" w:hAnsi="仿宋" w:cs="仿宋" w:hint="eastAsia"/>
          <w:color w:val="000000"/>
          <w:kern w:val="0"/>
          <w:sz w:val="30"/>
          <w:szCs w:val="30"/>
        </w:rPr>
        <w:t>氧化性强于H</w:t>
      </w:r>
      <w:r>
        <w:rPr>
          <w:rFonts w:ascii="仿宋" w:eastAsia="仿宋" w:hAnsi="仿宋" w:cs="仿宋" w:hint="eastAsia"/>
          <w:color w:val="000000"/>
          <w:kern w:val="0"/>
          <w:sz w:val="30"/>
          <w:szCs w:val="30"/>
          <w:vertAlign w:val="superscript"/>
        </w:rPr>
        <w:t>+</w:t>
      </w:r>
      <w:r>
        <w:rPr>
          <w:rFonts w:ascii="仿宋" w:eastAsia="仿宋" w:hAnsi="仿宋" w:cs="仿宋" w:hint="eastAsia"/>
          <w:color w:val="000000"/>
          <w:kern w:val="0"/>
          <w:sz w:val="30"/>
          <w:szCs w:val="30"/>
        </w:rPr>
        <w:t>，由于Cu</w:t>
      </w:r>
      <w:r>
        <w:rPr>
          <w:rFonts w:ascii="仿宋" w:eastAsia="仿宋" w:hAnsi="仿宋" w:cs="仿宋" w:hint="eastAsia"/>
          <w:color w:val="000000"/>
          <w:kern w:val="0"/>
          <w:sz w:val="30"/>
          <w:szCs w:val="30"/>
          <w:vertAlign w:val="superscript"/>
        </w:rPr>
        <w:t>2+</w:t>
      </w:r>
      <w:r>
        <w:rPr>
          <w:rFonts w:ascii="仿宋" w:eastAsia="仿宋" w:hAnsi="仿宋" w:cs="仿宋" w:hint="eastAsia"/>
          <w:color w:val="000000"/>
          <w:kern w:val="0"/>
          <w:sz w:val="30"/>
          <w:szCs w:val="30"/>
        </w:rPr>
        <w:t>被水分子包围，因此Na首先遇到水分子，所以Na与盐溶液的反应实质是与水的反应。通过拓展这个插图的使用，可以让学生很容易对这个难点有了一个形象的理解，而且印象也非常深刻。由此我们可以发现，拓展课本中插图的使用功能，有时会对我们的教学提供很多的方便，也会加深学生对知识的理解和把握。</w:t>
      </w:r>
    </w:p>
    <w:p w:rsidR="00C80EBC" w:rsidRDefault="00C80EBC" w:rsidP="00C80EBC">
      <w:pPr>
        <w:widowControl/>
        <w:spacing w:line="360" w:lineRule="auto"/>
        <w:ind w:firstLineChars="250" w:firstLine="75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再如人教版选修5教材28页表2-1</w:t>
      </w:r>
    </w:p>
    <w:p w:rsidR="00C80EBC" w:rsidRDefault="00C80EBC" w:rsidP="00C80EBC">
      <w:pPr>
        <w:widowControl/>
        <w:spacing w:line="360" w:lineRule="auto"/>
        <w:ind w:firstLineChars="250" w:firstLine="750"/>
        <w:jc w:val="left"/>
        <w:rPr>
          <w:rFonts w:ascii="仿宋" w:eastAsia="仿宋" w:hAnsi="仿宋" w:cs="仿宋" w:hint="eastAsia"/>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3"/>
      </w:tblGrid>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名称</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结构简式</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沸点/℃</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相对密度</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甲烷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4</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-161.5</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0.466</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乙烷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-88.6</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0.572</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丁烷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2</w:t>
            </w:r>
            <w:r>
              <w:rPr>
                <w:rFonts w:ascii="仿宋" w:eastAsia="仿宋" w:hAnsi="仿宋" w:cs="仿宋" w:hint="eastAsia"/>
                <w:b/>
                <w:color w:val="000000"/>
                <w:kern w:val="0"/>
                <w:sz w:val="30"/>
                <w:szCs w:val="30"/>
              </w:rPr>
              <w:t>)</w:t>
            </w:r>
            <w:r>
              <w:rPr>
                <w:rFonts w:ascii="仿宋" w:eastAsia="仿宋" w:hAnsi="仿宋" w:cs="仿宋" w:hint="eastAsia"/>
                <w:b/>
                <w:color w:val="000000"/>
                <w:kern w:val="0"/>
                <w:sz w:val="30"/>
                <w:szCs w:val="30"/>
                <w:vertAlign w:val="subscript"/>
              </w:rPr>
              <w:t>2</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-0.5</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0.578 8</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戊烷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2</w:t>
            </w:r>
            <w:r>
              <w:rPr>
                <w:rFonts w:ascii="仿宋" w:eastAsia="仿宋" w:hAnsi="仿宋" w:cs="仿宋" w:hint="eastAsia"/>
                <w:b/>
                <w:color w:val="000000"/>
                <w:kern w:val="0"/>
                <w:sz w:val="30"/>
                <w:szCs w:val="30"/>
              </w:rPr>
              <w:t>)</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36.0</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0.626 2</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lastRenderedPageBreak/>
              <w:t>壬烷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2</w:t>
            </w:r>
            <w:r>
              <w:rPr>
                <w:rFonts w:ascii="仿宋" w:eastAsia="仿宋" w:hAnsi="仿宋" w:cs="仿宋" w:hint="eastAsia"/>
                <w:b/>
                <w:color w:val="000000"/>
                <w:kern w:val="0"/>
                <w:sz w:val="30"/>
                <w:szCs w:val="30"/>
              </w:rPr>
              <w:t>)</w:t>
            </w:r>
            <w:r>
              <w:rPr>
                <w:rFonts w:ascii="仿宋" w:eastAsia="仿宋" w:hAnsi="仿宋" w:cs="仿宋" w:hint="eastAsia"/>
                <w:b/>
                <w:color w:val="000000"/>
                <w:kern w:val="0"/>
                <w:sz w:val="30"/>
                <w:szCs w:val="30"/>
                <w:vertAlign w:val="subscript"/>
              </w:rPr>
              <w:t>7</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150.8</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0.718</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十一烷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2</w:t>
            </w:r>
            <w:r>
              <w:rPr>
                <w:rFonts w:ascii="仿宋" w:eastAsia="仿宋" w:hAnsi="仿宋" w:cs="仿宋" w:hint="eastAsia"/>
                <w:b/>
                <w:color w:val="000000"/>
                <w:kern w:val="0"/>
                <w:sz w:val="30"/>
                <w:szCs w:val="30"/>
              </w:rPr>
              <w:t>)</w:t>
            </w:r>
            <w:r>
              <w:rPr>
                <w:rFonts w:ascii="仿宋" w:eastAsia="仿宋" w:hAnsi="仿宋" w:cs="仿宋" w:hint="eastAsia"/>
                <w:b/>
                <w:color w:val="000000"/>
                <w:kern w:val="0"/>
                <w:sz w:val="30"/>
                <w:szCs w:val="30"/>
                <w:vertAlign w:val="subscript"/>
              </w:rPr>
              <w:t>9</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194.5</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0.741</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十六烷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2</w:t>
            </w:r>
            <w:r>
              <w:rPr>
                <w:rFonts w:ascii="仿宋" w:eastAsia="仿宋" w:hAnsi="仿宋" w:cs="仿宋" w:hint="eastAsia"/>
                <w:b/>
                <w:color w:val="000000"/>
                <w:kern w:val="0"/>
                <w:sz w:val="30"/>
                <w:szCs w:val="30"/>
              </w:rPr>
              <w:t>)</w:t>
            </w:r>
            <w:r>
              <w:rPr>
                <w:rFonts w:ascii="仿宋" w:eastAsia="仿宋" w:hAnsi="仿宋" w:cs="仿宋" w:hint="eastAsia"/>
                <w:b/>
                <w:color w:val="000000"/>
                <w:kern w:val="0"/>
                <w:sz w:val="30"/>
                <w:szCs w:val="30"/>
                <w:vertAlign w:val="subscript"/>
              </w:rPr>
              <w:t>14</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287.5</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0.774</w:t>
            </w:r>
          </w:p>
        </w:tc>
      </w:tr>
      <w:tr w:rsidR="00C80EBC" w:rsidTr="006D71E6">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十八烷</w:t>
            </w:r>
          </w:p>
        </w:tc>
        <w:tc>
          <w:tcPr>
            <w:tcW w:w="2132" w:type="dxa"/>
          </w:tcPr>
          <w:p w:rsidR="00C80EBC" w:rsidRDefault="00C80EBC" w:rsidP="006D71E6">
            <w:pPr>
              <w:widowControl/>
              <w:spacing w:line="360" w:lineRule="auto"/>
              <w:jc w:val="left"/>
              <w:rPr>
                <w:rFonts w:ascii="仿宋" w:eastAsia="仿宋" w:hAnsi="仿宋" w:cs="仿宋" w:hint="eastAsia"/>
                <w:b/>
                <w:color w:val="000000"/>
                <w:kern w:val="0"/>
                <w:sz w:val="30"/>
                <w:szCs w:val="30"/>
              </w:rPr>
            </w:pP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2</w:t>
            </w:r>
            <w:r>
              <w:rPr>
                <w:rFonts w:ascii="仿宋" w:eastAsia="仿宋" w:hAnsi="仿宋" w:cs="仿宋" w:hint="eastAsia"/>
                <w:b/>
                <w:color w:val="000000"/>
                <w:kern w:val="0"/>
                <w:sz w:val="30"/>
                <w:szCs w:val="30"/>
              </w:rPr>
              <w:t>)</w:t>
            </w:r>
            <w:r>
              <w:rPr>
                <w:rFonts w:ascii="仿宋" w:eastAsia="仿宋" w:hAnsi="仿宋" w:cs="仿宋" w:hint="eastAsia"/>
                <w:b/>
                <w:color w:val="000000"/>
                <w:kern w:val="0"/>
                <w:sz w:val="30"/>
                <w:szCs w:val="30"/>
                <w:vertAlign w:val="subscript"/>
              </w:rPr>
              <w:t>16</w:t>
            </w:r>
            <w:r>
              <w:rPr>
                <w:rFonts w:ascii="仿宋" w:eastAsia="仿宋" w:hAnsi="仿宋" w:cs="仿宋" w:hint="eastAsia"/>
                <w:b/>
                <w:color w:val="000000"/>
                <w:kern w:val="0"/>
                <w:sz w:val="30"/>
                <w:szCs w:val="30"/>
              </w:rPr>
              <w:t>CH</w:t>
            </w:r>
            <w:r>
              <w:rPr>
                <w:rFonts w:ascii="仿宋" w:eastAsia="仿宋" w:hAnsi="仿宋" w:cs="仿宋" w:hint="eastAsia"/>
                <w:b/>
                <w:color w:val="000000"/>
                <w:kern w:val="0"/>
                <w:sz w:val="30"/>
                <w:szCs w:val="30"/>
                <w:vertAlign w:val="subscript"/>
              </w:rPr>
              <w:t>3</w:t>
            </w:r>
          </w:p>
        </w:tc>
        <w:tc>
          <w:tcPr>
            <w:tcW w:w="2132"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317.0</w:t>
            </w:r>
          </w:p>
        </w:tc>
        <w:tc>
          <w:tcPr>
            <w:tcW w:w="2133" w:type="dxa"/>
          </w:tcPr>
          <w:p w:rsidR="00C80EBC" w:rsidRDefault="00C80EBC" w:rsidP="006D71E6">
            <w:pPr>
              <w:widowControl/>
              <w:spacing w:line="360" w:lineRule="auto"/>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0.775</w:t>
            </w:r>
          </w:p>
        </w:tc>
      </w:tr>
    </w:tbl>
    <w:p w:rsidR="00C80EBC" w:rsidRDefault="00C80EBC" w:rsidP="00C80EBC">
      <w:pPr>
        <w:widowControl/>
        <w:spacing w:line="360" w:lineRule="auto"/>
        <w:ind w:firstLineChars="200" w:firstLine="600"/>
        <w:jc w:val="left"/>
        <w:rPr>
          <w:rFonts w:ascii="仿宋" w:eastAsia="仿宋" w:hAnsi="仿宋" w:cs="仿宋" w:hint="eastAsia"/>
          <w:kern w:val="0"/>
          <w:sz w:val="30"/>
          <w:szCs w:val="30"/>
        </w:rPr>
      </w:pPr>
      <w:r>
        <w:rPr>
          <w:rFonts w:ascii="仿宋" w:eastAsia="仿宋" w:hAnsi="仿宋" w:cs="仿宋" w:hint="eastAsia"/>
          <w:color w:val="000000"/>
          <w:kern w:val="0"/>
          <w:sz w:val="30"/>
          <w:szCs w:val="30"/>
        </w:rPr>
        <w:t>我们应该先让学生观察每一列的不同点和每一列的变化规律，发现沸点和相对密度都是依次增大。比较之后进行分类，碳原子数4以内的烷烃和烯烃为气体，超过4的烷烃和烯烃为非气体，由此我们就可以让学生得出最终的结论：</w:t>
      </w:r>
      <w:r>
        <w:rPr>
          <w:rFonts w:ascii="仿宋" w:eastAsia="仿宋" w:hAnsi="仿宋" w:cs="仿宋" w:hint="eastAsia"/>
          <w:kern w:val="0"/>
          <w:sz w:val="30"/>
          <w:szCs w:val="30"/>
        </w:rPr>
        <w:t>有机物烷烃的熔沸点等性质随着碳原子个数的逐渐增加，出现规律性的改变，熔点和沸点逐渐升高，其密度也逐渐增大，那么学生也就容易顺推出常温下他们存在的状态，就是由气态一点点过渡到液态最后变成固态。让学更了解事物的规律变化。</w:t>
      </w:r>
    </w:p>
    <w:p w:rsidR="00C80EBC" w:rsidRDefault="00C80EBC" w:rsidP="00C80EBC">
      <w:pPr>
        <w:widowControl/>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必修1课本50页的插图3-8铁粉与水蒸气的反应，老师在这里会要求学生自己去重新设计新的装置图来完成这个实验。可高一的学生缺乏设计的经验，无从下手。如何来避免这些问题呢？我们应该先引导学生来认真地观察这幅插图，让学生总结出水蒸气的来源、反应用什么样的仪器，产物该如何检验，经过这些详细的分析之后，学生再来进行设计就会感到心中有数，从而更容易设计出切实可行的方案来。</w:t>
      </w:r>
    </w:p>
    <w:p w:rsidR="00C80EBC" w:rsidRDefault="00C80EBC" w:rsidP="00C80EBC">
      <w:pPr>
        <w:widowControl/>
        <w:spacing w:line="360" w:lineRule="auto"/>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由此可见，对与课本的装置图，我们应该让学生多观察，并结合实际操作来加深对基本操作的掌握。同时我们还应该多问几个为什么，引起学生的思考，从而培养其探究能力。</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（二）合理利用信息技术和网络资源，提高课堂效率。</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信息技术与课程整合为我们教学打开了另外一扇门，给我们带来了新鲜、丰富的网络知识。信息技术与课程整合，不只是把信息技术和教学资源作为辅助教学的工具，更因该是强调要把信息技术作为促进学生主动学习和认知世界和体验生活工具，利用信息技术和教学资源所提供的信息更多的去自主探索、更多的合作学习、更多的资源共享等学习环境，把学生的学习主动性、学习积极性充分的调动起来，使学生的创新思维与实践能力在实践过程中得到有好的锻炼和发展。教师不但要开发信息技术和教学资源，而且有效地发挥各种信息技术网络资源的真正价值，要引导学生尽可能充分利用网络进行学习，认识网络信息的利弊，提高学生学习、整理、利用信息的技能。这样教会学生知识的同时注重学生能力的培养。</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例如，学习NaCl的形成过程中，如果就凭教师按照书本内容直接讲解，学生很难想到NaCl结构情形，但做一个NaCl形成的课件，这样学生就可以把抽象的概念形象化，具体化，这样就降低了学生学习知识的难度，提高了教学效果。再如，利用三维动画可将CH</w:t>
      </w:r>
      <w:r>
        <w:rPr>
          <w:rFonts w:ascii="仿宋" w:eastAsia="仿宋" w:hAnsi="仿宋" w:cs="仿宋" w:hint="eastAsia"/>
          <w:sz w:val="30"/>
          <w:szCs w:val="30"/>
          <w:vertAlign w:val="subscript"/>
        </w:rPr>
        <w:t>3</w:t>
      </w:r>
      <w:r>
        <w:rPr>
          <w:rFonts w:ascii="仿宋" w:eastAsia="仿宋" w:hAnsi="仿宋" w:cs="仿宋" w:hint="eastAsia"/>
          <w:sz w:val="30"/>
          <w:szCs w:val="30"/>
        </w:rPr>
        <w:t>CH</w:t>
      </w:r>
      <w:r>
        <w:rPr>
          <w:rFonts w:ascii="仿宋" w:eastAsia="仿宋" w:hAnsi="仿宋" w:cs="仿宋" w:hint="eastAsia"/>
          <w:sz w:val="30"/>
          <w:szCs w:val="30"/>
          <w:vertAlign w:val="subscript"/>
        </w:rPr>
        <w:t>2</w:t>
      </w:r>
      <w:r>
        <w:rPr>
          <w:rFonts w:ascii="仿宋" w:eastAsia="仿宋" w:hAnsi="仿宋" w:cs="仿宋" w:hint="eastAsia"/>
          <w:sz w:val="30"/>
          <w:szCs w:val="30"/>
        </w:rPr>
        <w:t>OH与CH</w:t>
      </w:r>
      <w:r>
        <w:rPr>
          <w:rFonts w:ascii="仿宋" w:eastAsia="仿宋" w:hAnsi="仿宋" w:cs="仿宋" w:hint="eastAsia"/>
          <w:sz w:val="30"/>
          <w:szCs w:val="30"/>
          <w:vertAlign w:val="subscript"/>
        </w:rPr>
        <w:t>3</w:t>
      </w:r>
      <w:r>
        <w:rPr>
          <w:rFonts w:ascii="仿宋" w:eastAsia="仿宋" w:hAnsi="仿宋" w:cs="仿宋" w:hint="eastAsia"/>
          <w:sz w:val="30"/>
          <w:szCs w:val="30"/>
        </w:rPr>
        <w:t>COOH的酯化反应原理演示出来，学生很容易掌握其反应规律。</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例如，讲授《油脂》时，把油脂的分类、性质、用途三个内容用PowerPoint做成图文兼备的幻灯片，可以让学生自己差一些生活资料，这样不但减少板书时间，还能增加课堂教学容量，</w:t>
      </w:r>
      <w:r>
        <w:rPr>
          <w:rFonts w:ascii="仿宋" w:eastAsia="仿宋" w:hAnsi="仿宋" w:cs="仿宋" w:hint="eastAsia"/>
          <w:sz w:val="30"/>
          <w:szCs w:val="30"/>
        </w:rPr>
        <w:lastRenderedPageBreak/>
        <w:t>让学生多了解生活，提高了课堂教学的时效性，也调动了学生学习学习化学的主动性积。但需要学生真确对待网络。</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在实际教学中，利用信息技术等教学资源，赋予教学实际，使学生的学习更加开放化、自由化、个性化更适合学生的发展。例如学习工业酸雨的危害时，老师可以安排学生利用网络资源进行调研，这样不但激发学生的学习兴趣而且提高了学习效果，更重要的一点是培养了学生自主学习的能力。</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（三）认真研读教学参考书，强化课堂时效性。</w:t>
      </w:r>
    </w:p>
    <w:p w:rsidR="00C80EBC" w:rsidRDefault="00C80EBC" w:rsidP="00C80EBC">
      <w:pPr>
        <w:widowControl/>
        <w:snapToGrid w:val="0"/>
        <w:spacing w:line="360" w:lineRule="auto"/>
        <w:ind w:firstLine="420"/>
        <w:jc w:val="left"/>
        <w:rPr>
          <w:rFonts w:ascii="仿宋" w:eastAsia="仿宋" w:hAnsi="仿宋" w:cs="仿宋" w:hint="eastAsia"/>
          <w:kern w:val="0"/>
          <w:sz w:val="30"/>
          <w:szCs w:val="30"/>
        </w:rPr>
      </w:pPr>
      <w:r>
        <w:rPr>
          <w:rFonts w:ascii="仿宋" w:eastAsia="仿宋" w:hAnsi="仿宋" w:cs="仿宋" w:hint="eastAsia"/>
          <w:color w:val="000000"/>
          <w:kern w:val="0"/>
          <w:sz w:val="30"/>
          <w:szCs w:val="30"/>
        </w:rPr>
        <w:t>“教学参考书”是一种重要的教学资源，对于刚刚课改的新化学教材来说，我们对教材的把握还不是那么准确，理解不是那么透彻，而教学参考书可以准确、迅速把握教材内容和教学注意事项。教师如果没有事先研读参考书，对教材的理解和把握可能存在片面性，极容易造成教学过程中知识点的遗漏，或者把握不住教学的重点，找不准教学的难点，造成课堂教学秩序的混乱。教师东拉西扯地讲，学生不着边际地听，课堂教学效率也就难以提高。选用符合学生认知实际的“教学辅导用书”进行相应的练习和巩固，可以加强学生对知识的理解和应用。</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（四）善于利用“反馈信息”资源，及时调整教学方法。</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老师上课时，学生不但本身是教育的目标，也同时是教学的资源重要，我们任课教师在上课时，有的老师对教材已经很熟悉，有时对一些知识的教学方法铭记于心；常常是老一套。而时代在发展，社会在进步，学生却接触新鲜事物的机会越来越多，所以老师也要适应时代的发展。学生在课堂外认识的越来越多，理解</w:t>
      </w:r>
      <w:r>
        <w:rPr>
          <w:rFonts w:ascii="仿宋" w:eastAsia="仿宋" w:hAnsi="仿宋" w:cs="仿宋" w:hint="eastAsia"/>
          <w:sz w:val="30"/>
          <w:szCs w:val="30"/>
        </w:rPr>
        <w:lastRenderedPageBreak/>
        <w:t>能力也在不断地提高，理解的方式方法和原来也大不一样。特别是网络进入新时代，更拓宽了学生的思维方法，。在这种情况下，教师要做到迅速、准确、全面地捕捉教学信息，就要求我们不但要灵活的教授知识，还要及时地调整教学节奏和内容，从而使教学既有科学性、又有针对性。因此，我们一定要重视教学过程中的信息反馈，并根据信息反馈及时调整教学方法。</w:t>
      </w:r>
    </w:p>
    <w:p w:rsidR="00C80EBC" w:rsidRDefault="00C80EBC" w:rsidP="00C80EBC">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教学中，发掘、利用现代信息技术和教学资源，对于提高课堂效率具有重要意义。教师要合理利用教学资源，从知识与技能、过程与方法、情感态度与价值观三维角度激发学生的学习兴趣，给学生一个想象和探究的空间，发挥学生的主体作用，鼓励学生积极参与，让教学丰富、生动起来，提高化学课的课堂教学效率。</w:t>
      </w:r>
    </w:p>
    <w:p w:rsidR="00C80EBC" w:rsidRDefault="00C80EBC" w:rsidP="00C80EBC">
      <w:pPr>
        <w:widowControl/>
        <w:spacing w:line="324" w:lineRule="atLeast"/>
        <w:ind w:firstLine="316"/>
        <w:rPr>
          <w:rFonts w:ascii="仿宋" w:eastAsia="仿宋" w:hAnsi="仿宋" w:cs="仿宋" w:hint="eastAsia"/>
          <w:kern w:val="0"/>
          <w:sz w:val="30"/>
          <w:szCs w:val="30"/>
        </w:rPr>
      </w:pPr>
      <w:r>
        <w:rPr>
          <w:rFonts w:ascii="仿宋" w:eastAsia="仿宋" w:hAnsi="仿宋" w:cs="仿宋" w:hint="eastAsia"/>
          <w:b/>
          <w:bCs/>
          <w:kern w:val="0"/>
          <w:sz w:val="30"/>
          <w:szCs w:val="30"/>
        </w:rPr>
        <w:t>参考文献</w:t>
      </w:r>
    </w:p>
    <w:p w:rsidR="00C80EBC" w:rsidRDefault="00C80EBC" w:rsidP="00C80EBC">
      <w:pPr>
        <w:widowControl/>
        <w:spacing w:line="360" w:lineRule="auto"/>
        <w:ind w:leftChars="150" w:left="1215" w:hangingChars="300" w:hanging="900"/>
        <w:rPr>
          <w:rFonts w:ascii="仿宋" w:eastAsia="仿宋" w:hAnsi="仿宋" w:cs="仿宋" w:hint="eastAsia"/>
          <w:kern w:val="0"/>
          <w:sz w:val="30"/>
          <w:szCs w:val="30"/>
        </w:rPr>
      </w:pPr>
      <w:r>
        <w:rPr>
          <w:rFonts w:ascii="仿宋" w:eastAsia="仿宋" w:hAnsi="仿宋" w:cs="仿宋" w:hint="eastAsia"/>
          <w:kern w:val="0"/>
          <w:sz w:val="30"/>
          <w:szCs w:val="30"/>
        </w:rPr>
        <w:t xml:space="preserve">【1】 人民教育出版社、课程教材研究所、化学课程教材研究开发中心编著：《普通高中课程标准实验教科书化学》必修1 、选修4 人民教育出版社 </w:t>
      </w:r>
    </w:p>
    <w:p w:rsidR="00C80EBC" w:rsidRDefault="00C80EBC" w:rsidP="00C80EBC">
      <w:pPr>
        <w:rPr>
          <w:rFonts w:ascii="仿宋" w:eastAsia="仿宋" w:hAnsi="仿宋" w:cs="仿宋" w:hint="eastAsia"/>
          <w:sz w:val="30"/>
          <w:szCs w:val="30"/>
        </w:rPr>
      </w:pPr>
    </w:p>
    <w:p w:rsidR="005A69A5" w:rsidRPr="00C80EBC" w:rsidRDefault="005A69A5" w:rsidP="005A69A5">
      <w:pPr>
        <w:rPr>
          <w:rFonts w:asciiTheme="majorEastAsia" w:eastAsiaTheme="majorEastAsia" w:hAnsiTheme="majorEastAsia"/>
          <w:sz w:val="36"/>
          <w:szCs w:val="36"/>
        </w:rPr>
      </w:pPr>
    </w:p>
    <w:p w:rsidR="005A69A5" w:rsidRDefault="005A69A5" w:rsidP="005A69A5">
      <w:pPr>
        <w:rPr>
          <w:rFonts w:asciiTheme="majorEastAsia" w:eastAsiaTheme="majorEastAsia" w:hAnsiTheme="majorEastAsia"/>
          <w:sz w:val="36"/>
          <w:szCs w:val="36"/>
        </w:rPr>
      </w:pPr>
    </w:p>
    <w:p w:rsidR="005A69A5" w:rsidRDefault="005A69A5" w:rsidP="005A69A5">
      <w:pPr>
        <w:rPr>
          <w:rFonts w:asciiTheme="majorEastAsia" w:eastAsiaTheme="majorEastAsia" w:hAnsiTheme="majorEastAsia"/>
          <w:sz w:val="36"/>
          <w:szCs w:val="36"/>
        </w:rPr>
      </w:pPr>
    </w:p>
    <w:p w:rsidR="0083042A" w:rsidRPr="00783F5B" w:rsidRDefault="0083042A" w:rsidP="00A60B94">
      <w:pPr>
        <w:rPr>
          <w:rFonts w:ascii="仿宋_GB2312" w:eastAsia="仿宋_GB2312" w:hAnsi="仿宋"/>
          <w:sz w:val="30"/>
          <w:szCs w:val="30"/>
        </w:rPr>
      </w:pPr>
    </w:p>
    <w:sectPr w:rsidR="0083042A" w:rsidRPr="00783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D7" w:rsidRDefault="006432D7" w:rsidP="005A69A5">
      <w:r>
        <w:separator/>
      </w:r>
    </w:p>
  </w:endnote>
  <w:endnote w:type="continuationSeparator" w:id="0">
    <w:p w:rsidR="006432D7" w:rsidRDefault="006432D7" w:rsidP="005A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D7" w:rsidRDefault="006432D7" w:rsidP="005A69A5">
      <w:r>
        <w:separator/>
      </w:r>
    </w:p>
  </w:footnote>
  <w:footnote w:type="continuationSeparator" w:id="0">
    <w:p w:rsidR="006432D7" w:rsidRDefault="006432D7" w:rsidP="005A69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5EDA5A"/>
    <w:multiLevelType w:val="singleLevel"/>
    <w:tmpl w:val="935EDA5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BC"/>
    <w:rsid w:val="001F5F5B"/>
    <w:rsid w:val="002E5AB0"/>
    <w:rsid w:val="00423D1D"/>
    <w:rsid w:val="00557AD8"/>
    <w:rsid w:val="005A69A5"/>
    <w:rsid w:val="006432D7"/>
    <w:rsid w:val="00783F5B"/>
    <w:rsid w:val="0083042A"/>
    <w:rsid w:val="00A60B94"/>
    <w:rsid w:val="00B22F03"/>
    <w:rsid w:val="00C80EBC"/>
    <w:rsid w:val="00F6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F455"/>
  <w15:docId w15:val="{5FDF44C6-687D-4887-AF0A-8F857CBC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9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69A5"/>
    <w:rPr>
      <w:sz w:val="18"/>
      <w:szCs w:val="18"/>
    </w:rPr>
  </w:style>
  <w:style w:type="paragraph" w:styleId="a5">
    <w:name w:val="footer"/>
    <w:basedOn w:val="a"/>
    <w:link w:val="a6"/>
    <w:uiPriority w:val="99"/>
    <w:unhideWhenUsed/>
    <w:rsid w:val="005A69A5"/>
    <w:pPr>
      <w:tabs>
        <w:tab w:val="center" w:pos="4153"/>
        <w:tab w:val="right" w:pos="8306"/>
      </w:tabs>
      <w:snapToGrid w:val="0"/>
      <w:jc w:val="left"/>
    </w:pPr>
    <w:rPr>
      <w:sz w:val="18"/>
      <w:szCs w:val="18"/>
    </w:rPr>
  </w:style>
  <w:style w:type="character" w:customStyle="1" w:styleId="a6">
    <w:name w:val="页脚 字符"/>
    <w:basedOn w:val="a0"/>
    <w:link w:val="a5"/>
    <w:uiPriority w:val="99"/>
    <w:rsid w:val="005A69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t1.baidu.com/it/u=2273873615,4275547703&amp;fm=15&amp;gp=0.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lxs</dc:creator>
  <cp:keywords/>
  <dc:description/>
  <cp:lastModifiedBy>lm</cp:lastModifiedBy>
  <cp:revision>9</cp:revision>
  <dcterms:created xsi:type="dcterms:W3CDTF">2018-11-27T01:08:00Z</dcterms:created>
  <dcterms:modified xsi:type="dcterms:W3CDTF">2020-11-03T06:41:00Z</dcterms:modified>
</cp:coreProperties>
</file>