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lang w:val="en-US" w:eastAsia="zh-CN"/>
        </w:rPr>
      </w:pPr>
      <w:r>
        <w:rPr>
          <w:rFonts w:hint="eastAsia"/>
          <w:b/>
          <w:sz w:val="28"/>
          <w:szCs w:val="28"/>
          <w:lang w:val="en-US" w:eastAsia="zh-CN"/>
        </w:rPr>
        <w:t>课题</w:t>
      </w:r>
      <w:r>
        <w:rPr>
          <w:rFonts w:hint="eastAsia"/>
          <w:b/>
          <w:sz w:val="28"/>
          <w:szCs w:val="28"/>
        </w:rPr>
        <w:t>研究</w:t>
      </w:r>
      <w:r>
        <w:rPr>
          <w:rFonts w:hint="eastAsia"/>
          <w:b/>
          <w:sz w:val="28"/>
          <w:szCs w:val="28"/>
          <w:lang w:val="en-US" w:eastAsia="zh-CN"/>
        </w:rPr>
        <w:t>成果公告</w:t>
      </w:r>
    </w:p>
    <w:p>
      <w:pPr>
        <w:numPr>
          <w:ilvl w:val="0"/>
          <w:numId w:val="1"/>
        </w:numPr>
        <w:rPr>
          <w:rFonts w:hint="default"/>
          <w:b/>
          <w:sz w:val="28"/>
          <w:szCs w:val="28"/>
          <w:lang w:val="en-US" w:eastAsia="zh-CN"/>
        </w:rPr>
      </w:pPr>
      <w:r>
        <w:rPr>
          <w:rFonts w:hint="eastAsia"/>
          <w:b/>
          <w:sz w:val="28"/>
          <w:szCs w:val="28"/>
          <w:lang w:val="en-US" w:eastAsia="zh-CN"/>
        </w:rPr>
        <w:t>课题简介：</w:t>
      </w:r>
    </w:p>
    <w:p>
      <w:pPr>
        <w:numPr>
          <w:ilvl w:val="0"/>
          <w:numId w:val="0"/>
        </w:numPr>
        <w:rPr>
          <w:rFonts w:hint="default"/>
          <w:b/>
          <w:sz w:val="28"/>
          <w:szCs w:val="28"/>
          <w:lang w:val="en-US" w:eastAsia="zh-CN"/>
        </w:rPr>
      </w:pPr>
      <w:r>
        <w:rPr>
          <w:rFonts w:hint="eastAsia"/>
          <w:b/>
          <w:sz w:val="28"/>
          <w:szCs w:val="28"/>
          <w:lang w:val="en-US" w:eastAsia="zh-CN"/>
        </w:rPr>
        <w:t>课题名称：《基于创客教育的学生计算思维培养的研究》</w:t>
      </w:r>
      <w:r>
        <w:rPr>
          <w:rFonts w:ascii="微软雅黑" w:hAnsi="微软雅黑" w:eastAsia="微软雅黑" w:cs="微软雅黑"/>
          <w:i w:val="0"/>
          <w:caps w:val="0"/>
          <w:color w:val="444444"/>
          <w:spacing w:val="0"/>
          <w:sz w:val="21"/>
          <w:szCs w:val="21"/>
          <w:shd w:val="clear" w:fill="FFFFFF"/>
        </w:rPr>
        <w:t>、</w:t>
      </w:r>
    </w:p>
    <w:p>
      <w:pPr>
        <w:numPr>
          <w:ilvl w:val="0"/>
          <w:numId w:val="0"/>
        </w:numPr>
        <w:rPr>
          <w:rFonts w:hint="eastAsia"/>
          <w:b/>
          <w:sz w:val="28"/>
          <w:szCs w:val="28"/>
          <w:lang w:val="en-US" w:eastAsia="zh-CN"/>
        </w:rPr>
      </w:pPr>
      <w:r>
        <w:rPr>
          <w:rFonts w:hint="eastAsia"/>
          <w:b/>
          <w:sz w:val="28"/>
          <w:szCs w:val="28"/>
          <w:lang w:val="en-US" w:eastAsia="zh-CN"/>
        </w:rPr>
        <w:t>课题编号：171201050042</w:t>
      </w:r>
    </w:p>
    <w:p>
      <w:pPr>
        <w:numPr>
          <w:ilvl w:val="0"/>
          <w:numId w:val="0"/>
        </w:numPr>
        <w:rPr>
          <w:rFonts w:hint="eastAsia"/>
          <w:b/>
          <w:sz w:val="28"/>
          <w:szCs w:val="28"/>
          <w:lang w:val="en-US" w:eastAsia="zh-CN"/>
        </w:rPr>
      </w:pPr>
      <w:r>
        <w:rPr>
          <w:rFonts w:hint="eastAsia"/>
          <w:b/>
          <w:sz w:val="28"/>
          <w:szCs w:val="28"/>
          <w:lang w:val="en-US" w:eastAsia="zh-CN"/>
        </w:rPr>
        <w:t>课题负责人：刘丽颖、中学高级、天津市河北区教师发展中心</w:t>
      </w:r>
    </w:p>
    <w:p>
      <w:pPr>
        <w:numPr>
          <w:ilvl w:val="0"/>
          <w:numId w:val="0"/>
        </w:numPr>
        <w:rPr>
          <w:rFonts w:hint="eastAsia"/>
          <w:b/>
          <w:sz w:val="28"/>
          <w:szCs w:val="28"/>
          <w:lang w:val="en-US" w:eastAsia="zh-CN"/>
        </w:rPr>
      </w:pPr>
      <w:r>
        <w:rPr>
          <w:rFonts w:hint="eastAsia"/>
          <w:b/>
          <w:sz w:val="28"/>
          <w:szCs w:val="28"/>
          <w:lang w:val="en-US" w:eastAsia="zh-CN"/>
        </w:rPr>
        <w:t>主要研究人员：孙弘、吕晨光、白森溶、权宗慧、崔婷婷、吴广菊、霍元媛、王志盛</w:t>
      </w:r>
    </w:p>
    <w:p>
      <w:pPr>
        <w:numPr>
          <w:ilvl w:val="0"/>
          <w:numId w:val="1"/>
        </w:numPr>
        <w:ind w:left="0" w:leftChars="0" w:firstLine="0" w:firstLineChars="0"/>
        <w:rPr>
          <w:rFonts w:hint="eastAsia"/>
          <w:b/>
          <w:sz w:val="28"/>
          <w:szCs w:val="28"/>
          <w:lang w:val="en-US" w:eastAsia="zh-CN"/>
        </w:rPr>
      </w:pPr>
      <w:r>
        <w:rPr>
          <w:rFonts w:hint="eastAsia"/>
          <w:b/>
          <w:sz w:val="28"/>
          <w:szCs w:val="28"/>
          <w:lang w:val="en-US" w:eastAsia="zh-CN"/>
        </w:rPr>
        <w:t>内容与方法：</w:t>
      </w:r>
    </w:p>
    <w:p>
      <w:pPr>
        <w:rPr>
          <w:b/>
          <w:sz w:val="28"/>
          <w:szCs w:val="28"/>
        </w:rPr>
      </w:pPr>
      <w:r>
        <w:rPr>
          <w:rFonts w:hint="eastAsia"/>
          <w:b/>
          <w:sz w:val="28"/>
          <w:szCs w:val="28"/>
          <w:lang w:eastAsia="zh-CN"/>
        </w:rPr>
        <w:t>（</w:t>
      </w:r>
      <w:r>
        <w:rPr>
          <w:rFonts w:hint="eastAsia"/>
          <w:b/>
          <w:sz w:val="28"/>
          <w:szCs w:val="28"/>
          <w:lang w:val="en-US" w:eastAsia="zh-CN"/>
        </w:rPr>
        <w:t>一</w:t>
      </w:r>
      <w:r>
        <w:rPr>
          <w:rFonts w:hint="eastAsia"/>
          <w:b/>
          <w:sz w:val="28"/>
          <w:szCs w:val="28"/>
          <w:lang w:eastAsia="zh-CN"/>
        </w:rPr>
        <w:t>）</w:t>
      </w:r>
      <w:r>
        <w:rPr>
          <w:rFonts w:hint="eastAsia"/>
          <w:b/>
          <w:sz w:val="28"/>
          <w:szCs w:val="28"/>
        </w:rPr>
        <w:t>研究内容：</w:t>
      </w:r>
    </w:p>
    <w:p>
      <w:pPr>
        <w:ind w:firstLine="560" w:firstLineChars="200"/>
        <w:rPr>
          <w:sz w:val="28"/>
          <w:szCs w:val="28"/>
        </w:rPr>
      </w:pPr>
      <w:r>
        <w:rPr>
          <w:rFonts w:hint="eastAsia"/>
          <w:sz w:val="28"/>
          <w:szCs w:val="28"/>
        </w:rPr>
        <w:t>（1）创客教育与计算思维之间的联系</w:t>
      </w:r>
    </w:p>
    <w:p>
      <w:pPr>
        <w:ind w:firstLine="560" w:firstLineChars="200"/>
        <w:rPr>
          <w:sz w:val="28"/>
          <w:szCs w:val="28"/>
        </w:rPr>
      </w:pPr>
      <w:r>
        <w:rPr>
          <w:rFonts w:hint="eastAsia"/>
          <w:sz w:val="28"/>
          <w:szCs w:val="28"/>
        </w:rPr>
        <w:t>（2）基于创客教育培养学生计算思维的可行性</w:t>
      </w:r>
    </w:p>
    <w:p>
      <w:pPr>
        <w:ind w:firstLine="560" w:firstLineChars="200"/>
        <w:rPr>
          <w:sz w:val="28"/>
          <w:szCs w:val="28"/>
        </w:rPr>
      </w:pPr>
      <w:r>
        <w:rPr>
          <w:rFonts w:hint="eastAsia"/>
          <w:sz w:val="28"/>
          <w:szCs w:val="28"/>
        </w:rPr>
        <w:t>（3）基于创客教育培养学生计算思维的方法和途径</w:t>
      </w:r>
    </w:p>
    <w:p>
      <w:pPr>
        <w:rPr>
          <w:b/>
          <w:sz w:val="28"/>
          <w:szCs w:val="28"/>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rFonts w:hint="eastAsia"/>
          <w:b/>
          <w:sz w:val="28"/>
          <w:szCs w:val="28"/>
        </w:rPr>
        <w:t>研究方法</w:t>
      </w:r>
    </w:p>
    <w:p>
      <w:pPr>
        <w:ind w:firstLine="560" w:firstLineChars="200"/>
        <w:rPr>
          <w:sz w:val="28"/>
          <w:szCs w:val="28"/>
        </w:rPr>
      </w:pPr>
      <w:r>
        <w:rPr>
          <w:rFonts w:hint="eastAsia"/>
          <w:sz w:val="28"/>
          <w:szCs w:val="28"/>
        </w:rPr>
        <w:t>调查研究法——有目的、有计划地通过谈话、访问、座谈、问卷等方式，来了解现状、收集有关事实、数据等材料，从而明确课题研究重点，把握课题研究方向；</w:t>
      </w:r>
    </w:p>
    <w:p>
      <w:pPr>
        <w:ind w:firstLine="560" w:firstLineChars="200"/>
        <w:rPr>
          <w:sz w:val="28"/>
          <w:szCs w:val="28"/>
        </w:rPr>
      </w:pPr>
      <w:r>
        <w:rPr>
          <w:rFonts w:hint="eastAsia"/>
          <w:sz w:val="28"/>
          <w:szCs w:val="28"/>
        </w:rPr>
        <w:t>文献研究法——通过查阅各种文献，广泛收集有关创客教育和计算思维的资料和信息，了解相关的理论问题，为相关教学实践奠定好理论基础；</w:t>
      </w:r>
    </w:p>
    <w:p>
      <w:pPr>
        <w:ind w:firstLine="560" w:firstLineChars="200"/>
        <w:rPr>
          <w:sz w:val="28"/>
          <w:szCs w:val="28"/>
        </w:rPr>
      </w:pPr>
      <w:r>
        <w:rPr>
          <w:rFonts w:hint="eastAsia"/>
          <w:sz w:val="28"/>
          <w:szCs w:val="28"/>
        </w:rPr>
        <w:t>行动研究法——制定个性研究方案，通过学生实践情况进行分析，再研究调整重新进行实践。并将经验总结、记录，形成有价值的文字；</w:t>
      </w:r>
    </w:p>
    <w:p>
      <w:pPr>
        <w:ind w:firstLine="560" w:firstLineChars="200"/>
        <w:rPr>
          <w:rFonts w:hint="eastAsia"/>
          <w:sz w:val="28"/>
          <w:szCs w:val="28"/>
        </w:rPr>
      </w:pPr>
      <w:r>
        <w:rPr>
          <w:rFonts w:hint="eastAsia"/>
          <w:sz w:val="28"/>
          <w:szCs w:val="28"/>
        </w:rPr>
        <w:t>经验总结法——根据实践提出的经验事实材料进行分析、研究、概括，使之上升到理论，从客观实际出发，把握事实的总和，重视实践及其经验的多样性，认真分析上升为理性认识，形成总结。</w:t>
      </w:r>
    </w:p>
    <w:p>
      <w:pPr>
        <w:ind w:firstLine="562" w:firstLineChars="200"/>
        <w:rPr>
          <w:rFonts w:hint="default" w:eastAsiaTheme="minorEastAsia"/>
          <w:b/>
          <w:bCs/>
          <w:sz w:val="28"/>
          <w:szCs w:val="28"/>
          <w:lang w:val="en-US" w:eastAsia="zh-CN"/>
        </w:rPr>
      </w:pPr>
      <w:r>
        <w:rPr>
          <w:rFonts w:hint="eastAsia"/>
          <w:b/>
          <w:bCs/>
          <w:sz w:val="28"/>
          <w:szCs w:val="28"/>
          <w:lang w:val="en-US" w:eastAsia="zh-CN"/>
        </w:rPr>
        <w:t>三、结论与对策：</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（一）进一步明确创客教育与计算思维的联系</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虽然“创客教育”是新兴的教育理念，但其理论基础是多种成熟的教育理论，包括体验教育、项目教学法、创新教育等，是一种更适应当今社会需求和学生学习需求的综合的教育理念。</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题组认为创客教育的根本是创新。在新课标指导下，将创客教育作为一种新的教育理念、一种新的学习方式和一种新的教学手段，逐步培养学生学会发现问题并学会针对实际问题用创新的思路分析问题，用科学的方法解决问题的综合能力即计算思维能力。以学生为主体，利用“创客项目”培养学生的创新思维，通过学生间的互动与合作在完成“创客项目”的过程中学会发现值得解决的问题和创新性的解决实际问题，学会在已有问题内外发现新的“创客项目”，并利用计算思维解决问题，提高和拓展个人的综合能力，使创客实践成为计算思维培养的一种实践形态，使计算思维的培养成为更容易实现的具体化的实践表现。</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（二）利用创客教育培养计算思维的方法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1．从创客教育入手培养学生逐步形成计算思维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（1）使创客教育成为学生探索热情的源泉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（2）用创客资源满足学生解决实际问题的需求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（3）留白式的创客教育为学生形成计算思维留出空间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2．以创客教育培养学生运用计算思维解决实际问题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（1）创客教育中的竞争机制成为利用计算思维解决问题的动力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课堂教学最让教师头疼的就是提问之后教室里面的鸦雀无声，尤其是很多高中学生明明心中有数却不愿意表达或是不敢表达。法国教育家第斯多惠说“教学的艺术不在于传授本领，而在于激励、唤醒、鼓舞。”课题组认为，可以为学生创造一个更加宽松和谐、有利于创新的环境氛围，在课堂中引入竞争机制，学生对老师提出的问题，会主动去思考，发言也会积极，在活跃的气氛中学到了知识，把握了重点，学习得牢固，以达到课堂的教学目的。</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（2）使创客教育中的团队协作成为提高利用计算思维解决问题的推力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（3）使创客教育中的评价体系成为评价利用计算思维解决问题的内驱力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3．通过创客教育提升学生利用计算思维发现问题的能力</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（1）学科融合，使创客教育成为发现问题的源头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（2）竞赛提升，让创客教育促进学生的自我成长</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（三）创客教育使学生“计算思维技能”有一定的提升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根据我区实际情况，课题组在区内选择了200名高一高二的学生作为观察对象，在课题的前期和后期对这些学生进行了“高中生计算思维技能素养测试”的试卷调查（见附件1），通过调查我们发现学生在接受创客教育前后“抽象化、评估、概括、分解、程序化”等能力在不同程度上有所提高。</w:t>
      </w:r>
    </w:p>
    <w:p>
      <w:pPr>
        <w:spacing w:line="360" w:lineRule="auto"/>
        <w:jc w:val="center"/>
        <w:rPr>
          <w:rFonts w:asciiTheme="minorEastAsia" w:hAnsiTheme="minorEastAsia"/>
          <w:szCs w:val="21"/>
        </w:rPr>
      </w:pPr>
      <w:r>
        <w:rPr>
          <w:rFonts w:hint="eastAsia" w:asciiTheme="minorEastAsia" w:hAnsiTheme="minorEastAsia"/>
          <w:szCs w:val="21"/>
        </w:rPr>
        <w:t>表1高中生计算思维技能素养测试统计</w:t>
      </w:r>
    </w:p>
    <w:tbl>
      <w:tblPr>
        <w:tblStyle w:val="2"/>
        <w:tblW w:w="8274" w:type="dxa"/>
        <w:tblInd w:w="93" w:type="dxa"/>
        <w:tblLayout w:type="fixed"/>
        <w:tblCellMar>
          <w:top w:w="0" w:type="dxa"/>
          <w:left w:w="108" w:type="dxa"/>
          <w:bottom w:w="0" w:type="dxa"/>
          <w:right w:w="108" w:type="dxa"/>
        </w:tblCellMar>
      </w:tblPr>
      <w:tblGrid>
        <w:gridCol w:w="560"/>
        <w:gridCol w:w="2716"/>
        <w:gridCol w:w="624"/>
        <w:gridCol w:w="625"/>
        <w:gridCol w:w="625"/>
        <w:gridCol w:w="625"/>
        <w:gridCol w:w="624"/>
        <w:gridCol w:w="625"/>
        <w:gridCol w:w="625"/>
        <w:gridCol w:w="625"/>
      </w:tblGrid>
      <w:tr>
        <w:tblPrEx>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2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考查技能</w:t>
            </w:r>
          </w:p>
        </w:tc>
        <w:tc>
          <w:tcPr>
            <w:tcW w:w="249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前期</w:t>
            </w:r>
          </w:p>
        </w:tc>
        <w:tc>
          <w:tcPr>
            <w:tcW w:w="249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后期</w:t>
            </w:r>
          </w:p>
        </w:tc>
      </w:tr>
      <w:tr>
        <w:tblPrEx>
          <w:tblCellMar>
            <w:top w:w="0" w:type="dxa"/>
            <w:left w:w="108" w:type="dxa"/>
            <w:bottom w:w="0" w:type="dxa"/>
            <w:right w:w="108" w:type="dxa"/>
          </w:tblCellMar>
        </w:tblPrEx>
        <w:trPr>
          <w:trHeight w:val="27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B</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B</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D</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抽象，程序化</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程序化，评估，概括</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47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抽象，程序化，分解，评估，概括</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16</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63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9</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47</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抽象，概括</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13</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69</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抽象，分解</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12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72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程序化、分解、评估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67</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程序化，评估</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59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r>
      <w:tr>
        <w:tblPrEx>
          <w:tblCellMar>
            <w:top w:w="0" w:type="dxa"/>
            <w:left w:w="108" w:type="dxa"/>
            <w:bottom w:w="0" w:type="dxa"/>
            <w:right w:w="108" w:type="dxa"/>
          </w:tblCellMar>
        </w:tblPrEx>
        <w:trPr>
          <w:trHeight w:val="285" w:hRule="atLeast"/>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抽象，程序化，分解</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2</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6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i/>
                <w:kern w:val="0"/>
                <w:szCs w:val="21"/>
              </w:rPr>
            </w:pPr>
            <w:r>
              <w:rPr>
                <w:rFonts w:hint="eastAsia" w:ascii="宋体" w:hAnsi="宋体" w:eastAsia="宋体" w:cs="宋体"/>
                <w:b/>
                <w:i/>
                <w:kern w:val="0"/>
                <w:szCs w:val="21"/>
              </w:rPr>
              <w:t>38</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bl>
    <w:p>
      <w:pPr>
        <w:spacing w:line="360" w:lineRule="auto"/>
        <w:jc w:val="center"/>
        <w:rPr>
          <w:rFonts w:asciiTheme="minorEastAsia" w:hAnsiTheme="minorEastAsia"/>
          <w:szCs w:val="21"/>
        </w:rPr>
      </w:pPr>
      <w:r>
        <w:rPr>
          <w:rFonts w:hint="eastAsia" w:asciiTheme="minorEastAsia" w:hAnsiTheme="minorEastAsia"/>
          <w:szCs w:val="21"/>
        </w:rPr>
        <w:t>图1高中生计算思维技能素养测试选择正确的前后期人数对比</w:t>
      </w:r>
    </w:p>
    <w:p>
      <w:pPr>
        <w:spacing w:line="360" w:lineRule="auto"/>
        <w:rPr>
          <w:rFonts w:asciiTheme="minorEastAsia" w:hAnsiTheme="minorEastAsia"/>
          <w:sz w:val="28"/>
          <w:szCs w:val="28"/>
        </w:rPr>
      </w:pPr>
      <w:r>
        <w:drawing>
          <wp:inline distT="0" distB="0" distL="0" distR="0">
            <wp:extent cx="5286375" cy="2743200"/>
            <wp:effectExtent l="4445" t="4445" r="508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rPr>
          <w:rFonts w:hint="default" w:eastAsiaTheme="minorEastAsia"/>
          <w:b/>
          <w:sz w:val="28"/>
          <w:szCs w:val="28"/>
          <w:lang w:val="en-US" w:eastAsia="zh-CN"/>
        </w:rPr>
      </w:pPr>
      <w:r>
        <w:rPr>
          <w:rFonts w:hint="eastAsia"/>
          <w:b/>
          <w:sz w:val="28"/>
          <w:szCs w:val="28"/>
          <w:lang w:val="en-US" w:eastAsia="zh-CN"/>
        </w:rPr>
        <w:t>四</w:t>
      </w:r>
      <w:r>
        <w:rPr>
          <w:rFonts w:hint="eastAsia"/>
          <w:b/>
          <w:sz w:val="28"/>
          <w:szCs w:val="28"/>
        </w:rPr>
        <w:t>、研究效果</w:t>
      </w:r>
      <w:r>
        <w:rPr>
          <w:rFonts w:hint="eastAsia"/>
          <w:b/>
          <w:sz w:val="28"/>
          <w:szCs w:val="28"/>
          <w:lang w:val="en-US" w:eastAsia="zh-CN"/>
        </w:rPr>
        <w:t>与影响</w:t>
      </w:r>
    </w:p>
    <w:p>
      <w:pPr>
        <w:widowControl/>
        <w:ind w:firstLine="562" w:firstLineChars="200"/>
        <w:jc w:val="left"/>
        <w:rPr>
          <w:rFonts w:ascii="宋体" w:hAnsi="宋体" w:cs="Arial"/>
          <w:color w:val="000000"/>
          <w:kern w:val="0"/>
          <w:sz w:val="28"/>
          <w:szCs w:val="28"/>
        </w:rPr>
      </w:pPr>
      <w:r>
        <w:rPr>
          <w:rFonts w:hint="eastAsia" w:ascii="宋体" w:hAnsi="宋体" w:cs="Arial"/>
          <w:b/>
          <w:bCs/>
          <w:color w:val="000000"/>
          <w:kern w:val="0"/>
          <w:sz w:val="28"/>
          <w:szCs w:val="28"/>
        </w:rPr>
        <w:t>（一）新策略的应用对学生的影响</w:t>
      </w:r>
    </w:p>
    <w:p>
      <w:pPr>
        <w:widowControl/>
        <w:ind w:firstLine="562" w:firstLineChars="200"/>
        <w:jc w:val="left"/>
        <w:rPr>
          <w:rFonts w:ascii="宋体" w:hAnsi="宋体" w:cs="Arial"/>
          <w:b/>
          <w:bCs/>
          <w:color w:val="000000"/>
          <w:kern w:val="0"/>
          <w:sz w:val="28"/>
          <w:szCs w:val="28"/>
        </w:rPr>
      </w:pPr>
      <w:r>
        <w:rPr>
          <w:rFonts w:hint="eastAsia" w:ascii="宋体" w:hAnsi="宋体" w:cs="Arial"/>
          <w:b/>
          <w:bCs/>
          <w:color w:val="000000"/>
          <w:kern w:val="0"/>
          <w:sz w:val="28"/>
          <w:szCs w:val="28"/>
        </w:rPr>
        <w:t>1.新策略的应用有利于培养学生的计算思维</w:t>
      </w:r>
    </w:p>
    <w:p>
      <w:pPr>
        <w:widowControl/>
        <w:ind w:firstLine="562" w:firstLineChars="200"/>
        <w:jc w:val="left"/>
        <w:rPr>
          <w:rFonts w:ascii="宋体" w:hAnsi="宋体" w:cs="Arial"/>
          <w:b/>
          <w:bCs/>
          <w:color w:val="000000"/>
          <w:kern w:val="0"/>
          <w:sz w:val="28"/>
          <w:szCs w:val="28"/>
        </w:rPr>
      </w:pPr>
      <w:r>
        <w:rPr>
          <w:rFonts w:hint="eastAsia" w:ascii="宋体" w:hAnsi="宋体" w:cs="Arial"/>
          <w:b/>
          <w:bCs/>
          <w:color w:val="000000"/>
          <w:kern w:val="0"/>
          <w:sz w:val="28"/>
          <w:szCs w:val="28"/>
        </w:rPr>
        <w:t>2.新策略的应用有助于提升学生“创造、解决问题”的能力</w:t>
      </w:r>
    </w:p>
    <w:p>
      <w:pPr>
        <w:widowControl/>
        <w:ind w:firstLine="562" w:firstLineChars="200"/>
        <w:jc w:val="left"/>
        <w:rPr>
          <w:rFonts w:asciiTheme="minorEastAsia" w:hAnsiTheme="minorEastAsia"/>
          <w:sz w:val="28"/>
          <w:szCs w:val="28"/>
        </w:rPr>
      </w:pPr>
      <w:r>
        <w:rPr>
          <w:rFonts w:hint="eastAsia" w:ascii="宋体" w:hAnsi="宋体" w:cs="Arial"/>
          <w:b/>
          <w:bCs/>
          <w:color w:val="000000"/>
          <w:kern w:val="0"/>
          <w:sz w:val="28"/>
          <w:szCs w:val="28"/>
        </w:rPr>
        <w:t>（二）有助于教师成长</w:t>
      </w:r>
    </w:p>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1.多篇课题研究论文发表：</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790"/>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论文题目</w:t>
            </w:r>
          </w:p>
        </w:tc>
        <w:tc>
          <w:tcPr>
            <w:tcW w:w="379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发表情况</w:t>
            </w:r>
          </w:p>
        </w:tc>
        <w:tc>
          <w:tcPr>
            <w:tcW w:w="1559"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利用分层教研关注教师的个性化发展</w:t>
            </w:r>
          </w:p>
        </w:tc>
        <w:tc>
          <w:tcPr>
            <w:tcW w:w="3790"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《天津教育》</w:t>
            </w:r>
          </w:p>
        </w:tc>
        <w:tc>
          <w:tcPr>
            <w:tcW w:w="1559"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2018年10月</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基于教育信息化2.0背景下教师信息素养的提升</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获得市电教馆论文评比市级一等奖</w:t>
            </w:r>
          </w:p>
        </w:tc>
        <w:tc>
          <w:tcPr>
            <w:tcW w:w="1559"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2018年10月</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实施“三新一旧”创新教学的路径</w:t>
            </w:r>
          </w:p>
        </w:tc>
        <w:tc>
          <w:tcPr>
            <w:tcW w:w="3790"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《中国信息技术教育》2018年第24期（总第300期）</w:t>
            </w:r>
          </w:p>
        </w:tc>
        <w:tc>
          <w:tcPr>
            <w:tcW w:w="1559"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2018年12月（下）</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p>
            <w:pPr>
              <w:widowControl/>
              <w:jc w:val="center"/>
              <w:rPr>
                <w:rFonts w:ascii="宋体" w:hAnsi="宋体" w:cs="Arial"/>
                <w:color w:val="000000"/>
                <w:kern w:val="0"/>
                <w:sz w:val="20"/>
                <w:szCs w:val="20"/>
              </w:rPr>
            </w:pPr>
            <w:r>
              <w:rPr>
                <w:rFonts w:hint="eastAsia" w:ascii="宋体" w:hAnsi="宋体" w:cs="Arial"/>
                <w:color w:val="000000"/>
                <w:kern w:val="0"/>
                <w:sz w:val="20"/>
                <w:szCs w:val="20"/>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浅谈如何发挥课堂数据的应用价值</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天津市教育创新三等奖</w:t>
            </w:r>
          </w:p>
        </w:tc>
        <w:tc>
          <w:tcPr>
            <w:tcW w:w="1559" w:type="dxa"/>
            <w:shd w:val="clear" w:color="auto" w:fill="auto"/>
            <w:vAlign w:val="center"/>
          </w:tcPr>
          <w:p>
            <w:pPr>
              <w:widowControl/>
              <w:jc w:val="center"/>
              <w:rPr>
                <w:rFonts w:hint="default"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2018年3月</w:t>
            </w:r>
          </w:p>
        </w:tc>
        <w:tc>
          <w:tcPr>
            <w:tcW w:w="1043" w:type="dxa"/>
            <w:shd w:val="clear" w:color="auto" w:fill="auto"/>
            <w:vAlign w:val="center"/>
          </w:tcPr>
          <w:p>
            <w:pPr>
              <w:jc w:val="center"/>
              <w:rPr>
                <w:rFonts w:hint="eastAsia" w:eastAsiaTheme="minorEastAsia"/>
                <w:kern w:val="0"/>
                <w:sz w:val="20"/>
                <w:szCs w:val="20"/>
                <w:lang w:val="en-US" w:eastAsia="zh-CN"/>
              </w:rPr>
            </w:pPr>
            <w:r>
              <w:rPr>
                <w:rFonts w:hint="eastAsia"/>
                <w:kern w:val="0"/>
                <w:sz w:val="20"/>
                <w:szCs w:val="20"/>
                <w:lang w:val="en-US" w:eastAsia="zh-CN"/>
              </w:rPr>
              <w:t>吕晨光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信息技术联合教研（创新教育与计算思维）</w:t>
            </w:r>
          </w:p>
        </w:tc>
        <w:tc>
          <w:tcPr>
            <w:tcW w:w="3790" w:type="dxa"/>
            <w:shd w:val="clear" w:color="auto" w:fill="auto"/>
            <w:vAlign w:val="center"/>
          </w:tcPr>
          <w:p>
            <w:pPr>
              <w:widowControl/>
              <w:jc w:val="center"/>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天津市基础教育信息化成果二等奖</w:t>
            </w:r>
          </w:p>
        </w:tc>
        <w:tc>
          <w:tcPr>
            <w:tcW w:w="1559" w:type="dxa"/>
            <w:shd w:val="clear" w:color="auto" w:fill="auto"/>
            <w:vAlign w:val="center"/>
          </w:tcPr>
          <w:p>
            <w:pPr>
              <w:widowControl/>
              <w:jc w:val="center"/>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2018年2月</w:t>
            </w:r>
          </w:p>
        </w:tc>
        <w:tc>
          <w:tcPr>
            <w:tcW w:w="1043" w:type="dxa"/>
            <w:shd w:val="clear" w:color="auto" w:fill="auto"/>
            <w:vAlign w:val="center"/>
          </w:tcPr>
          <w:p>
            <w:pPr>
              <w:jc w:val="center"/>
              <w:rPr>
                <w:rFonts w:hint="default"/>
                <w:kern w:val="0"/>
                <w:sz w:val="20"/>
                <w:szCs w:val="20"/>
                <w:lang w:val="en-US" w:eastAsia="zh-CN"/>
              </w:rPr>
            </w:pPr>
            <w:r>
              <w:rPr>
                <w:rFonts w:hint="eastAsia"/>
                <w:kern w:val="0"/>
                <w:sz w:val="20"/>
                <w:szCs w:val="20"/>
                <w:lang w:val="en-US" w:eastAsia="zh-CN"/>
              </w:rPr>
              <w:t>刘丽颖</w:t>
            </w:r>
          </w:p>
        </w:tc>
      </w:tr>
    </w:tbl>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2.多篇课题研究论文获奖：</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544"/>
        <w:gridCol w:w="14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论文题目</w:t>
            </w:r>
          </w:p>
        </w:tc>
        <w:tc>
          <w:tcPr>
            <w:tcW w:w="3544"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获奖情况</w:t>
            </w:r>
          </w:p>
        </w:tc>
        <w:tc>
          <w:tcPr>
            <w:tcW w:w="1417"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以区本课程为载体提升学生计算思维与创新能力的实践研究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天津市第六节基础教育教学成果二等奖</w:t>
            </w:r>
          </w:p>
        </w:tc>
        <w:tc>
          <w:tcPr>
            <w:tcW w:w="1417"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eastAsia="宋体" w:cs="宋体"/>
                <w:sz w:val="20"/>
                <w:szCs w:val="20"/>
              </w:rPr>
              <w:t>利用区本课程提升学生计算思维与创新能力的实践研究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eastAsia="宋体" w:cs="宋体"/>
                <w:sz w:val="20"/>
                <w:szCs w:val="20"/>
              </w:rPr>
              <w:t>天津市教研年会论文二等奖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基于教育信息化2.0背景下教师信息素养的研究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第九届全国教育技术论文大赛（天津赛区）一等奖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rPr>
                <w:rFonts w:ascii="宋体" w:hAnsi="宋体" w:cs="Arial"/>
                <w:color w:val="000000"/>
                <w:kern w:val="0"/>
                <w:sz w:val="20"/>
                <w:szCs w:val="20"/>
              </w:rPr>
            </w:pPr>
            <w:r>
              <w:rPr>
                <w:rFonts w:hint="eastAsia" w:ascii="宋体" w:hAnsi="宋体" w:cs="Arial"/>
                <w:color w:val="000000"/>
                <w:kern w:val="0"/>
                <w:sz w:val="20"/>
                <w:szCs w:val="20"/>
              </w:rPr>
              <w:t>在高中信息技术课程中培养学生核心素养的初探</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天津市中小学第十六届教研教改成果二等奖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2017年12月</w:t>
            </w:r>
          </w:p>
        </w:tc>
        <w:tc>
          <w:tcPr>
            <w:tcW w:w="1043"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有效提升中学生信息技术学科核心素养的实践探究</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天津市基础教育2018年“教育创新”论文评选三等奖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2018年3月</w:t>
            </w:r>
          </w:p>
        </w:tc>
        <w:tc>
          <w:tcPr>
            <w:tcW w:w="1043" w:type="dxa"/>
            <w:shd w:val="clear" w:color="auto" w:fill="auto"/>
            <w:vAlign w:val="center"/>
          </w:tcPr>
          <w:p>
            <w:pPr>
              <w:jc w:val="center"/>
              <w:rPr>
                <w:kern w:val="0"/>
                <w:sz w:val="20"/>
                <w:szCs w:val="20"/>
              </w:rPr>
            </w:pPr>
            <w:r>
              <w:rPr>
                <w:rFonts w:hint="eastAsia" w:ascii="宋体" w:hAnsi="宋体" w:cs="Arial"/>
                <w:color w:val="000000"/>
                <w:kern w:val="0"/>
                <w:sz w:val="20"/>
                <w:szCs w:val="20"/>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信息技术学科数字化区本课程的建设与实施</w:t>
            </w:r>
          </w:p>
        </w:tc>
        <w:tc>
          <w:tcPr>
            <w:tcW w:w="3544"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第三届中小学数字化教学研讨会</w:t>
            </w:r>
          </w:p>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二等奖</w:t>
            </w:r>
          </w:p>
        </w:tc>
        <w:tc>
          <w:tcPr>
            <w:tcW w:w="1417" w:type="dxa"/>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2018年10月</w:t>
            </w:r>
          </w:p>
        </w:tc>
        <w:tc>
          <w:tcPr>
            <w:tcW w:w="1043" w:type="dxa"/>
            <w:shd w:val="clear" w:color="auto" w:fill="auto"/>
            <w:vAlign w:val="center"/>
          </w:tcPr>
          <w:p>
            <w:pPr>
              <w:jc w:val="center"/>
              <w:rPr>
                <w:rFonts w:ascii="宋体" w:hAnsi="宋体" w:cs="Arial"/>
                <w:color w:val="000000"/>
                <w:kern w:val="0"/>
                <w:sz w:val="20"/>
                <w:szCs w:val="20"/>
              </w:rPr>
            </w:pPr>
            <w:r>
              <w:rPr>
                <w:rFonts w:hint="eastAsia" w:ascii="宋体" w:hAnsi="宋体" w:cs="Arial"/>
                <w:color w:val="000000"/>
                <w:kern w:val="0"/>
                <w:sz w:val="20"/>
                <w:szCs w:val="20"/>
              </w:rPr>
              <w:t>刘丽颖</w:t>
            </w:r>
          </w:p>
          <w:p>
            <w:pPr>
              <w:jc w:val="center"/>
              <w:rPr>
                <w:kern w:val="0"/>
                <w:sz w:val="20"/>
                <w:szCs w:val="20"/>
              </w:rPr>
            </w:pPr>
            <w:r>
              <w:rPr>
                <w:rFonts w:hint="eastAsia" w:ascii="宋体" w:hAnsi="宋体" w:cs="Arial"/>
                <w:color w:val="000000"/>
                <w:kern w:val="0"/>
                <w:sz w:val="20"/>
                <w:szCs w:val="20"/>
              </w:rPr>
              <w:t>孙弘</w:t>
            </w:r>
          </w:p>
        </w:tc>
      </w:tr>
    </w:tbl>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3.微课、课例获奖：</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790"/>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题目</w:t>
            </w:r>
          </w:p>
        </w:tc>
        <w:tc>
          <w:tcPr>
            <w:tcW w:w="379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获奖情况</w:t>
            </w:r>
          </w:p>
        </w:tc>
        <w:tc>
          <w:tcPr>
            <w:tcW w:w="1559"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指导《大数据及其应用》一课</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2018年全国新技术新媒体大赛一等奖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指导《数制编码转换》一课</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2018年全国新技术新媒体大赛三等奖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刘丽颖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思维导图随手做</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河北区教研教科研年会微课大赛一等奖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2017年12月</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数据与大数据</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2018年新技术新媒体教学应用研讨会暨第十一届全国中小学创新课堂教学实践观摩活动”教学课评比一等奖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w:t>
            </w:r>
          </w:p>
        </w:tc>
        <w:tc>
          <w:tcPr>
            <w:tcW w:w="1043" w:type="dxa"/>
            <w:shd w:val="clear" w:color="auto" w:fill="auto"/>
            <w:vAlign w:val="center"/>
          </w:tcPr>
          <w:p>
            <w:pPr>
              <w:jc w:val="center"/>
              <w:rPr>
                <w:kern w:val="0"/>
                <w:sz w:val="20"/>
                <w:szCs w:val="21"/>
              </w:rPr>
            </w:pPr>
            <w:r>
              <w:rPr>
                <w:rFonts w:hint="eastAsia"/>
                <w:kern w:val="0"/>
                <w:sz w:val="20"/>
                <w:szCs w:val="21"/>
              </w:rPr>
              <w:t>白森溶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初识大数据</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人民教育出版社举办的第三届中小学数字化教学研讨会特等奖</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2018年10月</w:t>
            </w:r>
          </w:p>
        </w:tc>
        <w:tc>
          <w:tcPr>
            <w:tcW w:w="1043" w:type="dxa"/>
            <w:shd w:val="clear" w:color="auto" w:fill="auto"/>
            <w:vAlign w:val="center"/>
          </w:tcPr>
          <w:p>
            <w:pPr>
              <w:jc w:val="center"/>
              <w:rPr>
                <w:kern w:val="0"/>
                <w:sz w:val="20"/>
                <w:szCs w:val="21"/>
              </w:rPr>
            </w:pPr>
            <w:r>
              <w:rPr>
                <w:rFonts w:hint="eastAsia"/>
                <w:kern w:val="0"/>
                <w:sz w:val="20"/>
                <w:szCs w:val="21"/>
              </w:rPr>
              <w:t>白森溶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微视频评比</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河北区首届微视频评比一等奖</w:t>
            </w:r>
          </w:p>
        </w:tc>
        <w:tc>
          <w:tcPr>
            <w:tcW w:w="1559"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2020年9月</w:t>
            </w:r>
          </w:p>
        </w:tc>
        <w:tc>
          <w:tcPr>
            <w:tcW w:w="1043" w:type="dxa"/>
            <w:shd w:val="clear" w:color="auto" w:fill="auto"/>
            <w:vAlign w:val="center"/>
          </w:tcPr>
          <w:p>
            <w:pPr>
              <w:jc w:val="center"/>
              <w:rPr>
                <w:rFonts w:hint="eastAsia" w:eastAsiaTheme="minorEastAsia"/>
                <w:kern w:val="0"/>
                <w:sz w:val="20"/>
                <w:szCs w:val="21"/>
                <w:lang w:val="en-US" w:eastAsia="zh-CN"/>
              </w:rPr>
            </w:pPr>
            <w:r>
              <w:rPr>
                <w:rFonts w:hint="eastAsia"/>
                <w:kern w:val="0"/>
                <w:sz w:val="20"/>
                <w:szCs w:val="21"/>
                <w:lang w:val="en-US" w:eastAsia="zh-CN"/>
              </w:rPr>
              <w:t>权宗慧</w:t>
            </w:r>
          </w:p>
        </w:tc>
      </w:tr>
    </w:tbl>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4.公开讲座、展示：</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790"/>
        <w:gridCol w:w="155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题目</w:t>
            </w:r>
          </w:p>
        </w:tc>
        <w:tc>
          <w:tcPr>
            <w:tcW w:w="3790"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活动名称</w:t>
            </w:r>
          </w:p>
        </w:tc>
        <w:tc>
          <w:tcPr>
            <w:tcW w:w="1559"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时间</w:t>
            </w:r>
          </w:p>
        </w:tc>
        <w:tc>
          <w:tcPr>
            <w:tcW w:w="1043" w:type="dxa"/>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《认识思维导图》</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信息技术初中教研活动中对全体初中教师进行培训</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2018年7月</w:t>
            </w:r>
          </w:p>
        </w:tc>
        <w:tc>
          <w:tcPr>
            <w:tcW w:w="1043"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孙弘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大数据及其应用</w:t>
            </w:r>
          </w:p>
        </w:tc>
        <w:tc>
          <w:tcPr>
            <w:tcW w:w="3790"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市级课改信息技术学科培训</w:t>
            </w:r>
          </w:p>
        </w:tc>
        <w:tc>
          <w:tcPr>
            <w:tcW w:w="1559" w:type="dxa"/>
            <w:shd w:val="clear" w:color="auto" w:fill="auto"/>
            <w:vAlign w:val="center"/>
          </w:tcPr>
          <w:p>
            <w:pPr>
              <w:widowControl/>
              <w:jc w:val="center"/>
              <w:rPr>
                <w:rFonts w:ascii="宋体" w:hAnsi="宋体" w:cs="Arial"/>
                <w:color w:val="000000"/>
                <w:kern w:val="0"/>
                <w:sz w:val="20"/>
                <w:szCs w:val="21"/>
              </w:rPr>
            </w:pPr>
            <w:r>
              <w:rPr>
                <w:rFonts w:hint="eastAsia" w:ascii="宋体" w:hAnsi="宋体" w:cs="Arial"/>
                <w:color w:val="000000"/>
                <w:kern w:val="0"/>
                <w:sz w:val="20"/>
                <w:szCs w:val="21"/>
              </w:rPr>
              <w:t>2018年11月</w:t>
            </w:r>
          </w:p>
        </w:tc>
        <w:tc>
          <w:tcPr>
            <w:tcW w:w="1043" w:type="dxa"/>
            <w:shd w:val="clear" w:color="auto" w:fill="auto"/>
            <w:vAlign w:val="center"/>
          </w:tcPr>
          <w:p>
            <w:pPr>
              <w:jc w:val="center"/>
              <w:rPr>
                <w:kern w:val="0"/>
                <w:sz w:val="20"/>
                <w:szCs w:val="21"/>
              </w:rPr>
            </w:pPr>
            <w:r>
              <w:rPr>
                <w:rFonts w:hint="eastAsia"/>
                <w:kern w:val="0"/>
                <w:sz w:val="20"/>
                <w:szCs w:val="21"/>
              </w:rPr>
              <w:t>白森溶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pPr>
              <w:widowControl/>
              <w:jc w:val="center"/>
              <w:rPr>
                <w:rFonts w:hint="eastAsia" w:ascii="宋体" w:hAnsi="宋体" w:cs="Arial" w:eastAsiaTheme="minorEastAsia"/>
                <w:color w:val="000000"/>
                <w:kern w:val="0"/>
                <w:sz w:val="20"/>
                <w:szCs w:val="21"/>
                <w:lang w:eastAsia="zh-CN"/>
              </w:rPr>
            </w:pPr>
            <w:r>
              <w:rPr>
                <w:rFonts w:hint="eastAsia" w:ascii="宋体" w:hAnsi="宋体" w:cs="Arial"/>
                <w:color w:val="000000"/>
                <w:kern w:val="0"/>
                <w:sz w:val="20"/>
                <w:szCs w:val="21"/>
                <w:lang w:eastAsia="zh-CN"/>
              </w:rPr>
              <w:t>《</w:t>
            </w:r>
            <w:r>
              <w:rPr>
                <w:rFonts w:hint="eastAsia" w:ascii="宋体" w:hAnsi="宋体" w:cs="Arial"/>
                <w:color w:val="000000"/>
                <w:kern w:val="0"/>
                <w:sz w:val="20"/>
                <w:szCs w:val="21"/>
                <w:lang w:val="en-US" w:eastAsia="zh-CN"/>
              </w:rPr>
              <w:t>基于创新教育背景下教师信息素养的提升</w:t>
            </w:r>
            <w:r>
              <w:rPr>
                <w:rFonts w:hint="eastAsia" w:ascii="宋体" w:hAnsi="宋体" w:cs="Arial"/>
                <w:color w:val="000000"/>
                <w:kern w:val="0"/>
                <w:sz w:val="20"/>
                <w:szCs w:val="21"/>
                <w:lang w:eastAsia="zh-CN"/>
              </w:rPr>
              <w:t>》</w:t>
            </w:r>
          </w:p>
        </w:tc>
        <w:tc>
          <w:tcPr>
            <w:tcW w:w="3790"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河北区教研教科研年会--智慧教育专长讲座</w:t>
            </w:r>
          </w:p>
        </w:tc>
        <w:tc>
          <w:tcPr>
            <w:tcW w:w="1559" w:type="dxa"/>
            <w:shd w:val="clear" w:color="auto" w:fill="auto"/>
            <w:vAlign w:val="center"/>
          </w:tcPr>
          <w:p>
            <w:pPr>
              <w:widowControl/>
              <w:jc w:val="center"/>
              <w:rPr>
                <w:rFonts w:hint="default" w:ascii="宋体" w:hAnsi="宋体" w:cs="Arial" w:eastAsiaTheme="minorEastAsia"/>
                <w:color w:val="000000"/>
                <w:kern w:val="0"/>
                <w:sz w:val="20"/>
                <w:szCs w:val="21"/>
                <w:lang w:val="en-US" w:eastAsia="zh-CN"/>
              </w:rPr>
            </w:pPr>
            <w:r>
              <w:rPr>
                <w:rFonts w:hint="eastAsia" w:ascii="宋体" w:hAnsi="宋体" w:cs="Arial"/>
                <w:color w:val="000000"/>
                <w:kern w:val="0"/>
                <w:sz w:val="20"/>
                <w:szCs w:val="21"/>
                <w:lang w:val="en-US" w:eastAsia="zh-CN"/>
              </w:rPr>
              <w:t>2019年12月</w:t>
            </w:r>
          </w:p>
        </w:tc>
        <w:tc>
          <w:tcPr>
            <w:tcW w:w="1043" w:type="dxa"/>
            <w:shd w:val="clear" w:color="auto" w:fill="auto"/>
            <w:vAlign w:val="center"/>
          </w:tcPr>
          <w:p>
            <w:pPr>
              <w:jc w:val="center"/>
              <w:rPr>
                <w:rFonts w:hint="eastAsia" w:eastAsiaTheme="minorEastAsia"/>
                <w:kern w:val="0"/>
                <w:sz w:val="20"/>
                <w:szCs w:val="21"/>
                <w:lang w:val="en-US" w:eastAsia="zh-CN"/>
              </w:rPr>
            </w:pPr>
            <w:r>
              <w:rPr>
                <w:rFonts w:hint="eastAsia"/>
                <w:kern w:val="0"/>
                <w:sz w:val="20"/>
                <w:szCs w:val="21"/>
                <w:lang w:val="en-US" w:eastAsia="zh-CN"/>
              </w:rPr>
              <w:t>刘丽颖</w:t>
            </w:r>
          </w:p>
        </w:tc>
      </w:tr>
    </w:tbl>
    <w:p>
      <w:pPr>
        <w:widowControl/>
        <w:ind w:firstLine="560" w:firstLineChars="200"/>
        <w:jc w:val="left"/>
        <w:rPr>
          <w:rFonts w:hint="eastAsia"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5.区域活动推广</w:t>
      </w:r>
    </w:p>
    <w:p>
      <w:pPr>
        <w:widowControl/>
        <w:jc w:val="both"/>
        <w:rPr>
          <w:rFonts w:hint="eastAsia" w:ascii="宋体" w:hAnsi="宋体" w:cs="Arial"/>
          <w:color w:val="000000"/>
          <w:kern w:val="0"/>
          <w:sz w:val="20"/>
          <w:szCs w:val="21"/>
          <w:lang w:val="en-US" w:eastAsia="zh-CN"/>
        </w:rPr>
      </w:pPr>
      <w:r>
        <w:rPr>
          <w:rFonts w:hint="eastAsia" w:ascii="宋体" w:hAnsi="宋体" w:cs="Arial"/>
          <w:color w:val="000000"/>
          <w:kern w:val="0"/>
          <w:sz w:val="20"/>
          <w:szCs w:val="21"/>
          <w:lang w:val="en-US" w:eastAsia="zh-CN"/>
        </w:rPr>
        <w:t>围绕智慧教育创新思维开展系列教研，被天津市教研室评为2019年市级精品教研活动。</w:t>
      </w:r>
    </w:p>
    <w:p>
      <w:pPr>
        <w:widowControl/>
        <w:jc w:val="both"/>
        <w:rPr>
          <w:rFonts w:hint="eastAsia" w:ascii="宋体" w:hAnsi="宋体" w:cs="Arial"/>
          <w:color w:val="000000"/>
          <w:kern w:val="0"/>
          <w:sz w:val="20"/>
          <w:szCs w:val="21"/>
          <w:lang w:val="en-US" w:eastAsia="zh-CN"/>
        </w:rPr>
      </w:pPr>
      <w:bookmarkStart w:id="0" w:name="_GoBack"/>
      <w:bookmarkEnd w:id="0"/>
      <w:r>
        <w:rPr>
          <w:rFonts w:hint="eastAsia" w:ascii="宋体" w:hAnsi="宋体" w:cs="Arial"/>
          <w:color w:val="000000"/>
          <w:kern w:val="0"/>
          <w:sz w:val="20"/>
          <w:szCs w:val="21"/>
          <w:lang w:val="en-US" w:eastAsia="zh-CN"/>
        </w:rPr>
        <w:t>2019年底河北区举办首届智慧教育年会，整合区域创新元素举办了很多老师和学生的比赛。</w:t>
      </w:r>
    </w:p>
    <w:p>
      <w:pPr>
        <w:numPr>
          <w:ilvl w:val="0"/>
          <w:numId w:val="2"/>
        </w:numPr>
        <w:rPr>
          <w:rFonts w:hint="eastAsia"/>
          <w:b/>
          <w:sz w:val="28"/>
          <w:szCs w:val="28"/>
          <w:lang w:val="en-US" w:eastAsia="zh-CN"/>
        </w:rPr>
      </w:pPr>
      <w:r>
        <w:rPr>
          <w:rFonts w:hint="eastAsia"/>
          <w:b/>
          <w:sz w:val="28"/>
          <w:szCs w:val="28"/>
          <w:lang w:val="en-US" w:eastAsia="zh-CN"/>
        </w:rPr>
        <w:t>改进与完善</w:t>
      </w:r>
    </w:p>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1.在课题研究过程中，我们发现将创客教育引入到信息技术教学中有利于培养学生的计算思维，对教师和学生都有一定的益处，但这并不能全盘否定传统的教学方法。创客教育是传统教学方法的有效补充，而传统的教学方法可以作为创客教育的良好基础，二者应该相辅相成，而不是相互否定。</w:t>
      </w:r>
    </w:p>
    <w:p>
      <w:pPr>
        <w:widowControl/>
        <w:ind w:firstLine="560" w:firstLineChars="200"/>
        <w:jc w:val="left"/>
        <w:rPr>
          <w:rFonts w:ascii="宋体" w:hAnsi="宋体" w:cs="Arial"/>
          <w:color w:val="000000"/>
          <w:kern w:val="0"/>
          <w:sz w:val="28"/>
          <w:szCs w:val="28"/>
        </w:rPr>
      </w:pPr>
      <w:r>
        <w:rPr>
          <w:rFonts w:hint="eastAsia" w:ascii="宋体" w:hAnsi="宋体" w:cs="Arial"/>
          <w:color w:val="000000"/>
          <w:kern w:val="0"/>
          <w:sz w:val="28"/>
          <w:szCs w:val="28"/>
        </w:rPr>
        <w:t>2.在不断的实践过程中，国内国际对创客教育的认识和理论研究在不断加深和完善，课题组对创客教育的认识也在不断学习和不断更新中，由于课题研究的时间有限，对评价体系的研究还不够深入，有待在今后的教学实践和研究中进一步探讨和总结。</w:t>
      </w:r>
    </w:p>
    <w:p>
      <w:pPr>
        <w:numPr>
          <w:ilvl w:val="0"/>
          <w:numId w:val="0"/>
        </w:numPr>
        <w:rPr>
          <w:rFonts w:hint="default"/>
          <w:b/>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47F5A"/>
    <w:multiLevelType w:val="singleLevel"/>
    <w:tmpl w:val="9D947F5A"/>
    <w:lvl w:ilvl="0" w:tentative="0">
      <w:start w:val="1"/>
      <w:numFmt w:val="chineseCounting"/>
      <w:suff w:val="nothing"/>
      <w:lvlText w:val="%1、"/>
      <w:lvlJc w:val="left"/>
      <w:rPr>
        <w:rFonts w:hint="eastAsia"/>
      </w:rPr>
    </w:lvl>
  </w:abstractNum>
  <w:abstractNum w:abstractNumId="1">
    <w:nsid w:val="DFB2118D"/>
    <w:multiLevelType w:val="singleLevel"/>
    <w:tmpl w:val="DFB2118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E24FC"/>
    <w:rsid w:val="616416CA"/>
    <w:rsid w:val="636E24FC"/>
    <w:rsid w:val="6DBE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4050;&#23548;&#20986;&#30340;&#25991;&#20214;\&#31185;&#25216;\&#35838;&#39064;&#26448;&#26009;\&#21016;&#20029;&#39062;&#35838;&#39064;\&#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Sheet1!$D$21</c:f>
              <c:strCache>
                <c:ptCount val="1"/>
                <c:pt idx="0">
                  <c:v>前期</c:v>
                </c:pt>
              </c:strCache>
            </c:strRef>
          </c:tx>
          <c:invertIfNegative val="0"/>
          <c:dLbls>
            <c:delete val="1"/>
          </c:dLbls>
          <c:val>
            <c:numRef>
              <c:f>Sheet1!$D$22:$D$31</c:f>
              <c:numCache>
                <c:formatCode>General</c:formatCode>
                <c:ptCount val="10"/>
                <c:pt idx="0">
                  <c:v>10</c:v>
                </c:pt>
                <c:pt idx="1">
                  <c:v>8</c:v>
                </c:pt>
                <c:pt idx="2">
                  <c:v>13</c:v>
                </c:pt>
                <c:pt idx="3">
                  <c:v>16</c:v>
                </c:pt>
                <c:pt idx="4">
                  <c:v>9</c:v>
                </c:pt>
                <c:pt idx="5">
                  <c:v>13</c:v>
                </c:pt>
                <c:pt idx="6">
                  <c:v>12</c:v>
                </c:pt>
                <c:pt idx="7">
                  <c:v>7</c:v>
                </c:pt>
                <c:pt idx="8">
                  <c:v>5</c:v>
                </c:pt>
                <c:pt idx="9">
                  <c:v>2</c:v>
                </c:pt>
              </c:numCache>
            </c:numRef>
          </c:val>
        </c:ser>
        <c:ser>
          <c:idx val="1"/>
          <c:order val="1"/>
          <c:tx>
            <c:strRef>
              <c:f>Sheet1!$E$21</c:f>
              <c:strCache>
                <c:ptCount val="1"/>
                <c:pt idx="0">
                  <c:v>后期</c:v>
                </c:pt>
              </c:strCache>
            </c:strRef>
          </c:tx>
          <c:invertIfNegative val="0"/>
          <c:dLbls>
            <c:delete val="1"/>
          </c:dLbls>
          <c:val>
            <c:numRef>
              <c:f>Sheet1!$E$22:$E$31</c:f>
              <c:numCache>
                <c:formatCode>General</c:formatCode>
                <c:ptCount val="10"/>
                <c:pt idx="0">
                  <c:v>58</c:v>
                </c:pt>
                <c:pt idx="1">
                  <c:v>47</c:v>
                </c:pt>
                <c:pt idx="2">
                  <c:v>52</c:v>
                </c:pt>
                <c:pt idx="3">
                  <c:v>63</c:v>
                </c:pt>
                <c:pt idx="4">
                  <c:v>47</c:v>
                </c:pt>
                <c:pt idx="5">
                  <c:v>69</c:v>
                </c:pt>
                <c:pt idx="6">
                  <c:v>72</c:v>
                </c:pt>
                <c:pt idx="7">
                  <c:v>67</c:v>
                </c:pt>
                <c:pt idx="8">
                  <c:v>59</c:v>
                </c:pt>
                <c:pt idx="9">
                  <c:v>38</c:v>
                </c:pt>
              </c:numCache>
            </c:numRef>
          </c:val>
        </c:ser>
        <c:dLbls>
          <c:showLegendKey val="0"/>
          <c:showVal val="0"/>
          <c:showCatName val="0"/>
          <c:showSerName val="0"/>
          <c:showPercent val="0"/>
          <c:showBubbleSize val="0"/>
        </c:dLbls>
        <c:gapWidth val="150"/>
        <c:axId val="91633152"/>
        <c:axId val="168105472"/>
      </c:barChart>
      <c:catAx>
        <c:axId val="91633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105472"/>
        <c:crosses val="autoZero"/>
        <c:auto val="1"/>
        <c:lblAlgn val="ctr"/>
        <c:lblOffset val="100"/>
        <c:noMultiLvlLbl val="0"/>
      </c:catAx>
      <c:valAx>
        <c:axId val="168105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331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2020-11-06T03:30:00Z</dcterms:created>
  <dc:creator>Administrator</dc:creator>
  <cp:lastModifiedBy>Administrator</cp:lastModifiedBy>
  <dcterms:modified xsi:type="dcterms:W3CDTF">2020-11-06T03:52:30Z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